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НАЦІОНАЛЬНИЙ УНІВЕРСИТЕТ “ЗАПОРІЗЬКА ПОЛІТЕХНІКА”</w:t>
      </w: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rFonts w:ascii="F1" w:eastAsia="F1" w:hAnsi="F1" w:cs="F1"/>
          <w:sz w:val="28"/>
          <w:szCs w:val="28"/>
        </w:rPr>
      </w:pPr>
    </w:p>
    <w:p w:rsidR="00B12A98" w:rsidRDefault="00F1222F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ОСВІТНЬО – НАУКОВА</w:t>
      </w:r>
      <w:r w:rsidR="00713ECA">
        <w:rPr>
          <w:b/>
          <w:sz w:val="28"/>
          <w:szCs w:val="28"/>
        </w:rPr>
        <w:t xml:space="preserve"> ПРОГРАМА</w:t>
      </w:r>
    </w:p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1222F">
        <w:rPr>
          <w:i/>
          <w:sz w:val="28"/>
          <w:szCs w:val="28"/>
        </w:rPr>
        <w:t>Б</w:t>
      </w:r>
      <w:r w:rsidR="00F1222F" w:rsidRPr="00F1222F">
        <w:rPr>
          <w:i/>
          <w:sz w:val="28"/>
          <w:szCs w:val="28"/>
        </w:rPr>
        <w:t>удівництво та цивільна інженерія</w:t>
      </w:r>
      <w:r>
        <w:rPr>
          <w:b/>
          <w:sz w:val="28"/>
          <w:szCs w:val="28"/>
        </w:rPr>
        <w:t>»</w:t>
      </w:r>
    </w:p>
    <w:p w:rsidR="00B12A98" w:rsidRDefault="00F1222F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Третього</w:t>
      </w:r>
      <w:r w:rsidR="00713ECA">
        <w:rPr>
          <w:b/>
          <w:sz w:val="28"/>
          <w:szCs w:val="28"/>
        </w:rPr>
        <w:t xml:space="preserve"> рівня вищої освіти</w:t>
      </w:r>
    </w:p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спеціальністю </w:t>
      </w:r>
      <w:r>
        <w:rPr>
          <w:i/>
          <w:sz w:val="28"/>
          <w:szCs w:val="28"/>
        </w:rPr>
        <w:t>192 Будівництво та цивільна інженерія</w:t>
      </w:r>
    </w:p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галузі знань </w:t>
      </w:r>
      <w:r>
        <w:rPr>
          <w:i/>
          <w:sz w:val="28"/>
          <w:szCs w:val="28"/>
        </w:rPr>
        <w:t>19 Архітектура та будівництво</w:t>
      </w:r>
    </w:p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Кваліфікація: </w:t>
      </w:r>
      <w:r w:rsidR="00F1222F">
        <w:rPr>
          <w:i/>
          <w:sz w:val="28"/>
          <w:szCs w:val="28"/>
        </w:rPr>
        <w:t>доктор філософії</w:t>
      </w:r>
      <w:r>
        <w:rPr>
          <w:i/>
          <w:sz w:val="28"/>
          <w:szCs w:val="28"/>
        </w:rPr>
        <w:t xml:space="preserve"> з будівництва та цивільної інженерії</w:t>
      </w:r>
    </w:p>
    <w:p w:rsidR="00B12A98" w:rsidRDefault="00B12A98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B12A98" w:rsidRDefault="00713ECA">
      <w:pPr>
        <w:keepNext/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12A98" w:rsidRDefault="00713ECA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ЗАТВЕРДЖЕНО ВЧЕНОЮ РАДОЮ*</w:t>
      </w:r>
    </w:p>
    <w:p w:rsidR="00B12A98" w:rsidRDefault="00713ECA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Голова вченої ради</w:t>
      </w:r>
    </w:p>
    <w:p w:rsidR="00B12A98" w:rsidRDefault="00713ECA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___________________ /________________/</w:t>
      </w:r>
    </w:p>
    <w:p w:rsidR="00B12A98" w:rsidRDefault="00713ECA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(протокол № __ від "___"_________ 20___ р.)</w:t>
      </w:r>
    </w:p>
    <w:p w:rsidR="00B12A98" w:rsidRDefault="00B12A98">
      <w:pPr>
        <w:spacing w:line="240" w:lineRule="auto"/>
        <w:ind w:left="1" w:hanging="3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sz w:val="28"/>
          <w:szCs w:val="28"/>
        </w:rPr>
      </w:pPr>
    </w:p>
    <w:p w:rsidR="00B12A98" w:rsidRDefault="00713ECA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Освітня програма вводиться в дію з _____202</w:t>
      </w:r>
      <w:r w:rsidR="003858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р.</w:t>
      </w:r>
    </w:p>
    <w:p w:rsidR="00B12A98" w:rsidRDefault="00713ECA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Ректор___________________ /____________/</w:t>
      </w:r>
    </w:p>
    <w:p w:rsidR="00B12A98" w:rsidRDefault="00713ECA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(наказ № __ від "___"_________ 202</w:t>
      </w:r>
      <w:r w:rsidR="003858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р.)</w:t>
      </w:r>
    </w:p>
    <w:p w:rsidR="00B12A98" w:rsidRDefault="00B12A98">
      <w:pPr>
        <w:spacing w:line="240" w:lineRule="auto"/>
        <w:ind w:left="1" w:hanging="3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sz w:val="28"/>
          <w:szCs w:val="28"/>
        </w:rPr>
      </w:pPr>
    </w:p>
    <w:p w:rsidR="00B12A98" w:rsidRDefault="00B12A98">
      <w:pPr>
        <w:spacing w:line="240" w:lineRule="auto"/>
        <w:ind w:left="1" w:hanging="3"/>
        <w:rPr>
          <w:sz w:val="28"/>
          <w:szCs w:val="28"/>
        </w:rPr>
      </w:pPr>
    </w:p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Запоріжжя 202</w:t>
      </w:r>
      <w:r w:rsidR="00385834">
        <w:rPr>
          <w:b/>
          <w:sz w:val="28"/>
          <w:szCs w:val="28"/>
        </w:rPr>
        <w:t>2</w:t>
      </w:r>
    </w:p>
    <w:p w:rsidR="00B12A98" w:rsidRDefault="00B12A98">
      <w:pPr>
        <w:spacing w:line="240" w:lineRule="auto"/>
        <w:ind w:left="1" w:hanging="3"/>
        <w:rPr>
          <w:sz w:val="28"/>
          <w:szCs w:val="28"/>
        </w:rPr>
      </w:pPr>
    </w:p>
    <w:p w:rsidR="00B12A98" w:rsidRDefault="00713ECA">
      <w:pPr>
        <w:spacing w:line="240" w:lineRule="auto"/>
        <w:ind w:left="0" w:hanging="2"/>
        <w:jc w:val="right"/>
        <w:rPr>
          <w:sz w:val="28"/>
          <w:szCs w:val="28"/>
        </w:rPr>
      </w:pPr>
      <w:r>
        <w:br w:type="page"/>
      </w:r>
    </w:p>
    <w:p w:rsidR="00B12A98" w:rsidRDefault="00713ECA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ПЕРЕДМОВА</w:t>
      </w:r>
    </w:p>
    <w:p w:rsidR="00B12A98" w:rsidRDefault="00B12A98">
      <w:pPr>
        <w:tabs>
          <w:tab w:val="left" w:pos="5103"/>
        </w:tabs>
        <w:spacing w:line="240" w:lineRule="auto"/>
        <w:ind w:left="1" w:hanging="3"/>
        <w:rPr>
          <w:sz w:val="28"/>
          <w:szCs w:val="28"/>
        </w:rPr>
      </w:pPr>
    </w:p>
    <w:p w:rsidR="00B12A98" w:rsidRDefault="00B12A98">
      <w:pPr>
        <w:tabs>
          <w:tab w:val="left" w:pos="5103"/>
        </w:tabs>
        <w:spacing w:line="240" w:lineRule="auto"/>
        <w:ind w:left="1" w:hanging="3"/>
        <w:rPr>
          <w:sz w:val="28"/>
          <w:szCs w:val="28"/>
        </w:rPr>
      </w:pPr>
    </w:p>
    <w:p w:rsidR="00B12A98" w:rsidRDefault="00F1222F">
      <w:pPr>
        <w:spacing w:line="240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Освітньо-наукова</w:t>
      </w:r>
      <w:proofErr w:type="spellEnd"/>
      <w:r w:rsidR="00713ECA">
        <w:rPr>
          <w:sz w:val="28"/>
          <w:szCs w:val="28"/>
        </w:rPr>
        <w:t xml:space="preserve"> програма (</w:t>
      </w:r>
      <w:r>
        <w:rPr>
          <w:sz w:val="28"/>
          <w:szCs w:val="28"/>
        </w:rPr>
        <w:t>ОНП</w:t>
      </w:r>
      <w:r w:rsidR="00713ECA">
        <w:rPr>
          <w:sz w:val="28"/>
          <w:szCs w:val="28"/>
        </w:rPr>
        <w:t>) «</w:t>
      </w:r>
      <w:r>
        <w:rPr>
          <w:sz w:val="28"/>
          <w:szCs w:val="28"/>
        </w:rPr>
        <w:t>Будівництво та цивільна інженерія</w:t>
      </w:r>
      <w:r w:rsidR="00713ECA">
        <w:rPr>
          <w:sz w:val="28"/>
          <w:szCs w:val="28"/>
        </w:rPr>
        <w:t xml:space="preserve">» підготовки </w:t>
      </w:r>
      <w:r>
        <w:rPr>
          <w:sz w:val="28"/>
          <w:szCs w:val="28"/>
        </w:rPr>
        <w:t>доктора філософії</w:t>
      </w:r>
      <w:r w:rsidR="00713ECA">
        <w:rPr>
          <w:sz w:val="28"/>
          <w:szCs w:val="28"/>
        </w:rPr>
        <w:t xml:space="preserve"> зі спеціальності 192 «Будівництво та цивільна інженерія» випускника НУ «Запорізька політехніка» є нормативним документом, в якому узагальнюється зміст освіти, тобто, відображаються цілі освітньої та </w:t>
      </w:r>
      <w:r>
        <w:rPr>
          <w:sz w:val="28"/>
          <w:szCs w:val="28"/>
        </w:rPr>
        <w:t xml:space="preserve">наукової </w:t>
      </w:r>
      <w:r w:rsidR="00713ECA">
        <w:rPr>
          <w:sz w:val="28"/>
          <w:szCs w:val="28"/>
        </w:rPr>
        <w:t xml:space="preserve">підготовки, визначається місце фахівця в структурі господарства держави і вимоги до його </w:t>
      </w:r>
      <w:proofErr w:type="spellStart"/>
      <w:r w:rsidR="00713ECA">
        <w:rPr>
          <w:sz w:val="28"/>
          <w:szCs w:val="28"/>
        </w:rPr>
        <w:t>компетентностей</w:t>
      </w:r>
      <w:proofErr w:type="spellEnd"/>
      <w:r w:rsidR="00713ECA">
        <w:rPr>
          <w:sz w:val="28"/>
          <w:szCs w:val="28"/>
        </w:rPr>
        <w:t xml:space="preserve"> та інших соціально важливих властивостей і якостей.</w:t>
      </w:r>
    </w:p>
    <w:p w:rsidR="00B12A98" w:rsidRDefault="00B12A98">
      <w:pPr>
        <w:spacing w:line="240" w:lineRule="auto"/>
        <w:ind w:left="1" w:hanging="3"/>
        <w:jc w:val="both"/>
        <w:rPr>
          <w:sz w:val="28"/>
          <w:szCs w:val="28"/>
        </w:rPr>
      </w:pPr>
    </w:p>
    <w:p w:rsidR="00B12A98" w:rsidRDefault="00713ECA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Програму розроблено групою у складі:</w:t>
      </w:r>
    </w:p>
    <w:p w:rsidR="0053429E" w:rsidRPr="0053429E" w:rsidRDefault="0053429E" w:rsidP="0053429E">
      <w:pPr>
        <w:pStyle w:val="af9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53429E">
        <w:rPr>
          <w:sz w:val="28"/>
          <w:szCs w:val="28"/>
        </w:rPr>
        <w:t>Жван</w:t>
      </w:r>
      <w:proofErr w:type="spellEnd"/>
      <w:r w:rsidRPr="0053429E">
        <w:rPr>
          <w:sz w:val="28"/>
          <w:szCs w:val="28"/>
        </w:rPr>
        <w:t xml:space="preserve"> Віктор Денисович – професор кафедри будівельного виробництва  та управління проектами, канд. техн. наук, керівник групи;</w:t>
      </w:r>
    </w:p>
    <w:p w:rsidR="0053429E" w:rsidRPr="0053429E" w:rsidRDefault="0053429E" w:rsidP="0053429E">
      <w:pPr>
        <w:pStyle w:val="af9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3429E">
        <w:rPr>
          <w:sz w:val="28"/>
          <w:szCs w:val="28"/>
        </w:rPr>
        <w:t>Назаренко Олексій Миколайович – завідувач кафедри будівельного виробництва та управління проектами, канд. техн. наук;</w:t>
      </w:r>
    </w:p>
    <w:p w:rsidR="0053429E" w:rsidRPr="0053429E" w:rsidRDefault="0053429E" w:rsidP="005D5F51">
      <w:pPr>
        <w:pStyle w:val="af9"/>
        <w:spacing w:line="240" w:lineRule="auto"/>
        <w:ind w:leftChars="0" w:left="358" w:firstLineChars="0" w:firstLine="0"/>
        <w:jc w:val="both"/>
        <w:rPr>
          <w:sz w:val="28"/>
          <w:szCs w:val="28"/>
        </w:rPr>
      </w:pPr>
    </w:p>
    <w:p w:rsidR="00B12A98" w:rsidRDefault="00713ECA" w:rsidP="0053429E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429E" w:rsidRDefault="0053429E" w:rsidP="0053429E">
      <w:pPr>
        <w:spacing w:line="240" w:lineRule="auto"/>
        <w:ind w:left="1" w:hanging="3"/>
        <w:jc w:val="both"/>
        <w:rPr>
          <w:sz w:val="28"/>
          <w:szCs w:val="28"/>
        </w:rPr>
      </w:pPr>
      <w:r w:rsidRPr="0053429E">
        <w:rPr>
          <w:sz w:val="28"/>
          <w:szCs w:val="28"/>
        </w:rPr>
        <w:t xml:space="preserve">з залученням та врахуванням позицій і потреб таких </w:t>
      </w:r>
      <w:proofErr w:type="spellStart"/>
      <w:r w:rsidRPr="0053429E">
        <w:rPr>
          <w:sz w:val="28"/>
          <w:szCs w:val="28"/>
        </w:rPr>
        <w:t>стейкхолдерів</w:t>
      </w:r>
      <w:proofErr w:type="spellEnd"/>
      <w:r w:rsidRPr="0053429E">
        <w:rPr>
          <w:sz w:val="28"/>
          <w:szCs w:val="28"/>
        </w:rPr>
        <w:t xml:space="preserve">: </w:t>
      </w:r>
    </w:p>
    <w:p w:rsidR="0053429E" w:rsidRPr="0053429E" w:rsidRDefault="0053429E" w:rsidP="0053429E">
      <w:pPr>
        <w:pStyle w:val="af9"/>
        <w:numPr>
          <w:ilvl w:val="0"/>
          <w:numId w:val="2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53429E">
        <w:rPr>
          <w:sz w:val="28"/>
          <w:szCs w:val="28"/>
        </w:rPr>
        <w:t xml:space="preserve">Іщенко Сергій Сергійович – аспірант 1 курсу (третій рівень вищої освіти) </w:t>
      </w:r>
      <w:proofErr w:type="spellStart"/>
      <w:r w:rsidRPr="0053429E">
        <w:rPr>
          <w:sz w:val="28"/>
          <w:szCs w:val="28"/>
        </w:rPr>
        <w:t>освітньо-</w:t>
      </w:r>
      <w:proofErr w:type="spellEnd"/>
      <w:r w:rsidRPr="0053429E">
        <w:rPr>
          <w:sz w:val="28"/>
          <w:szCs w:val="28"/>
        </w:rPr>
        <w:t xml:space="preserve"> наукової програми «Будівельного виробництва та управління проектами» спеціальності 192 «Будівництво та цивільна інженерія»;</w:t>
      </w:r>
    </w:p>
    <w:p w:rsidR="00B12A98" w:rsidRDefault="00B12A98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193610" w:rsidRDefault="00193610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193610" w:rsidRDefault="00193610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193610" w:rsidRDefault="00193610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1943F5" w:rsidRDefault="001943F5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5D5F51" w:rsidRDefault="005D5F51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bookmarkStart w:id="0" w:name="_GoBack"/>
      <w:bookmarkEnd w:id="0"/>
    </w:p>
    <w:p w:rsidR="001943F5" w:rsidRDefault="001943F5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193610" w:rsidRDefault="00193610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193610" w:rsidRDefault="00193610" w:rsidP="0053429E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:rsidR="00B12A98" w:rsidRDefault="0053429E" w:rsidP="0053429E">
      <w:pPr>
        <w:spacing w:line="240" w:lineRule="auto"/>
        <w:ind w:left="-2" w:firstLineChars="0" w:firstLine="722"/>
        <w:jc w:val="both"/>
        <w:rPr>
          <w:sz w:val="28"/>
          <w:szCs w:val="28"/>
        </w:rPr>
      </w:pPr>
      <w:proofErr w:type="spellStart"/>
      <w:r w:rsidRPr="0053429E">
        <w:rPr>
          <w:sz w:val="28"/>
          <w:szCs w:val="28"/>
        </w:rPr>
        <w:t>Освітньо-наукова</w:t>
      </w:r>
      <w:proofErr w:type="spellEnd"/>
      <w:r w:rsidRPr="0053429E">
        <w:rPr>
          <w:sz w:val="28"/>
          <w:szCs w:val="28"/>
        </w:rPr>
        <w:t xml:space="preserve"> програма підготовки докторів філософії складена згідно постанови Кабінету Міністрів України про Порядок підготовки здобувачів ступеня доктора філософії та доктора наук у вищих навчальних закладах (наукових установах) №261 від 23.03.2016 р., внесених змін від 28.09.2017 р. до Закону України «Про освіту», національної рамки кваліфікацій, комплекту навчально-методичних матеріалів спеціальності 192 «Будівництво та цивільна інженерія».</w:t>
      </w:r>
    </w:p>
    <w:p w:rsidR="00B12A98" w:rsidRDefault="00B12A98" w:rsidP="003B6918">
      <w:pPr>
        <w:spacing w:line="240" w:lineRule="auto"/>
        <w:ind w:left="1" w:hanging="3"/>
        <w:jc w:val="both"/>
        <w:rPr>
          <w:sz w:val="28"/>
          <w:szCs w:val="28"/>
        </w:rPr>
      </w:pPr>
    </w:p>
    <w:p w:rsidR="00B12A98" w:rsidRPr="0053429E" w:rsidRDefault="00713ECA" w:rsidP="0053429E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надходження побажань, пропозицій та зауважень щодо вдосконалення </w:t>
      </w:r>
      <w:r w:rsidR="00F1222F">
        <w:rPr>
          <w:sz w:val="28"/>
          <w:szCs w:val="28"/>
        </w:rPr>
        <w:t>ОНП</w:t>
      </w:r>
      <w:r>
        <w:rPr>
          <w:sz w:val="28"/>
          <w:szCs w:val="28"/>
        </w:rPr>
        <w:t xml:space="preserve"> від здобувачів вищої освіти, представників академічної спільноти та роботодавців проекту </w:t>
      </w:r>
      <w:r w:rsidR="00F1222F">
        <w:rPr>
          <w:sz w:val="28"/>
          <w:szCs w:val="28"/>
        </w:rPr>
        <w:t>ОНП</w:t>
      </w:r>
      <w:r>
        <w:rPr>
          <w:sz w:val="28"/>
          <w:szCs w:val="28"/>
        </w:rPr>
        <w:t xml:space="preserve"> обговорено та схвалено на засіданні</w:t>
      </w:r>
      <w:r w:rsidR="00E96A48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 xml:space="preserve"> кафедри «Будівельного виробництва та управління проектами» (протокол від </w:t>
      </w:r>
      <w:r w:rsidR="00E96A48">
        <w:rPr>
          <w:sz w:val="28"/>
          <w:szCs w:val="28"/>
        </w:rPr>
        <w:t>«2</w:t>
      </w:r>
      <w:r w:rsidR="00973261">
        <w:rPr>
          <w:sz w:val="28"/>
          <w:szCs w:val="28"/>
        </w:rPr>
        <w:t>5</w:t>
      </w:r>
      <w:r w:rsidR="00E96A48" w:rsidRPr="006D0227">
        <w:rPr>
          <w:sz w:val="28"/>
          <w:szCs w:val="28"/>
        </w:rPr>
        <w:t>.</w:t>
      </w:r>
      <w:r w:rsidR="00E96A48">
        <w:rPr>
          <w:sz w:val="28"/>
          <w:szCs w:val="28"/>
        </w:rPr>
        <w:t>07</w:t>
      </w:r>
      <w:r w:rsidR="00E96A48" w:rsidRPr="006D0227">
        <w:rPr>
          <w:sz w:val="28"/>
          <w:szCs w:val="28"/>
        </w:rPr>
        <w:t>.</w:t>
      </w:r>
      <w:r w:rsidR="00E96A48">
        <w:rPr>
          <w:sz w:val="28"/>
          <w:szCs w:val="28"/>
        </w:rPr>
        <w:t>2022</w:t>
      </w:r>
      <w:r w:rsidR="00E96A48" w:rsidRPr="008E2848">
        <w:rPr>
          <w:sz w:val="28"/>
          <w:szCs w:val="28"/>
        </w:rPr>
        <w:t>»</w:t>
      </w:r>
      <w:r w:rsidR="00E96A48">
        <w:rPr>
          <w:sz w:val="28"/>
          <w:szCs w:val="28"/>
          <w:u w:val="single"/>
        </w:rPr>
        <w:t xml:space="preserve"> </w:t>
      </w:r>
      <w:r w:rsidR="00E96A48">
        <w:rPr>
          <w:sz w:val="28"/>
          <w:szCs w:val="28"/>
        </w:rPr>
        <w:t>№2</w:t>
      </w:r>
      <w:r>
        <w:rPr>
          <w:sz w:val="28"/>
          <w:szCs w:val="28"/>
        </w:rPr>
        <w:t>).</w:t>
      </w:r>
    </w:p>
    <w:p w:rsidR="00B12A98" w:rsidRDefault="00713ECA">
      <w:pPr>
        <w:spacing w:line="240" w:lineRule="auto"/>
        <w:ind w:left="0" w:hanging="2"/>
        <w:jc w:val="center"/>
      </w:pPr>
      <w:r>
        <w:rPr>
          <w:b/>
        </w:rPr>
        <w:lastRenderedPageBreak/>
        <w:t>1. Профіль освітньо-професійної програми</w:t>
      </w:r>
    </w:p>
    <w:tbl>
      <w:tblPr>
        <w:tblStyle w:val="af3"/>
        <w:tblW w:w="98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6807"/>
      </w:tblGrid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1.1 – Загальна інформація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  <w:rPr>
                <w:sz w:val="36"/>
                <w:szCs w:val="36"/>
              </w:rPr>
            </w:pPr>
            <w:r>
              <w:rPr>
                <w:b/>
              </w:rPr>
              <w:t>Повна назва закладу вищої освіти, факультету та кафедри</w:t>
            </w:r>
          </w:p>
        </w:tc>
        <w:tc>
          <w:tcPr>
            <w:tcW w:w="6807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t>Національний університет “Запорізька політехніка”,</w:t>
            </w:r>
          </w:p>
          <w:p w:rsidR="00B12A98" w:rsidRDefault="00713ECA">
            <w:pPr>
              <w:spacing w:line="240" w:lineRule="auto"/>
              <w:ind w:left="0" w:hanging="2"/>
            </w:pPr>
            <w:r>
              <w:t>Факультет, будівництва, архітектури та дизайну</w:t>
            </w:r>
          </w:p>
          <w:p w:rsidR="00B12A98" w:rsidRDefault="00713ECA">
            <w:pPr>
              <w:spacing w:line="240" w:lineRule="auto"/>
              <w:ind w:left="0" w:hanging="2"/>
              <w:rPr>
                <w:sz w:val="36"/>
                <w:szCs w:val="36"/>
              </w:rPr>
            </w:pPr>
            <w:r>
              <w:t>Кафедра "Будівельного виробництва та управління проектами".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Ступінь вищої освіти та назва кваліфікації мовою оригіналу</w:t>
            </w:r>
          </w:p>
        </w:tc>
        <w:tc>
          <w:tcPr>
            <w:tcW w:w="6807" w:type="dxa"/>
          </w:tcPr>
          <w:p w:rsidR="00B12A98" w:rsidRDefault="0053429E">
            <w:pPr>
              <w:spacing w:line="240" w:lineRule="auto"/>
              <w:ind w:left="0" w:hanging="2"/>
              <w:rPr>
                <w:sz w:val="36"/>
                <w:szCs w:val="36"/>
              </w:rPr>
            </w:pPr>
            <w:r w:rsidRPr="0053429E">
              <w:t>Ступінь вищої освіти: третій Кваліфікація: доктор філософії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Офіційна назва освітньої програми</w:t>
            </w:r>
          </w:p>
        </w:tc>
        <w:tc>
          <w:tcPr>
            <w:tcW w:w="6807" w:type="dxa"/>
          </w:tcPr>
          <w:p w:rsidR="00B12A98" w:rsidRDefault="00F1222F">
            <w:pPr>
              <w:spacing w:line="240" w:lineRule="auto"/>
              <w:ind w:left="2" w:hanging="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Будівництво та цивільна інженерія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 xml:space="preserve">Тип диплому та обсяг освітньої програми </w:t>
            </w:r>
          </w:p>
        </w:tc>
        <w:tc>
          <w:tcPr>
            <w:tcW w:w="6807" w:type="dxa"/>
          </w:tcPr>
          <w:p w:rsidR="0053429E" w:rsidRDefault="0053429E" w:rsidP="0053429E">
            <w:pPr>
              <w:spacing w:line="240" w:lineRule="auto"/>
              <w:ind w:left="0" w:hanging="2"/>
            </w:pPr>
            <w:r>
              <w:t>Тип диплому - одиничний</w:t>
            </w:r>
          </w:p>
          <w:p w:rsidR="0053429E" w:rsidRDefault="0053429E" w:rsidP="0053429E">
            <w:pPr>
              <w:spacing w:line="240" w:lineRule="auto"/>
              <w:ind w:left="0" w:hanging="2"/>
            </w:pPr>
            <w:r>
              <w:t>Обсяг: 60 кредитів ЄКТС</w:t>
            </w:r>
          </w:p>
          <w:p w:rsidR="00B12A98" w:rsidRDefault="0053429E" w:rsidP="0053429E">
            <w:pPr>
              <w:spacing w:line="240" w:lineRule="auto"/>
              <w:ind w:left="0" w:hanging="2"/>
            </w:pPr>
            <w:r>
              <w:t>Термін навчання: 4 роки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Наявність акредитації</w:t>
            </w:r>
          </w:p>
        </w:tc>
        <w:tc>
          <w:tcPr>
            <w:tcW w:w="6807" w:type="dxa"/>
          </w:tcPr>
          <w:p w:rsidR="00B12A98" w:rsidRDefault="0053429E">
            <w:pPr>
              <w:spacing w:line="240" w:lineRule="auto"/>
              <w:ind w:left="0" w:hanging="2"/>
            </w:pPr>
            <w:r>
              <w:t>-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Цикл/рівень</w:t>
            </w:r>
          </w:p>
        </w:tc>
        <w:tc>
          <w:tcPr>
            <w:tcW w:w="6807" w:type="dxa"/>
          </w:tcPr>
          <w:p w:rsidR="00B12A98" w:rsidRDefault="0053429E">
            <w:pPr>
              <w:spacing w:line="240" w:lineRule="auto"/>
              <w:ind w:left="0" w:hanging="2"/>
            </w:pPr>
            <w:r w:rsidRPr="0053429E">
              <w:t>НРК України - 8 рівень; FQ-EHEA - третій цикл: EQF-LLL - 8 рівень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Передумови</w:t>
            </w:r>
          </w:p>
        </w:tc>
        <w:tc>
          <w:tcPr>
            <w:tcW w:w="6807" w:type="dxa"/>
          </w:tcPr>
          <w:p w:rsidR="00B12A98" w:rsidRDefault="0053429E" w:rsidP="00A743A7">
            <w:pPr>
              <w:spacing w:line="240" w:lineRule="auto"/>
              <w:ind w:left="0" w:hanging="2"/>
            </w:pPr>
            <w:r w:rsidRPr="0053429E">
              <w:t>Наявність освітнього ступеня магістра (ОКР спеціаліста) за спеціальністю. Умо</w:t>
            </w:r>
            <w:r w:rsidR="00A743A7">
              <w:t>ви вступу визначаються «Правила</w:t>
            </w:r>
            <w:r w:rsidRPr="0053429E">
              <w:t xml:space="preserve">ми прийому до аспірантури і докторантури </w:t>
            </w:r>
            <w:r w:rsidR="00A743A7">
              <w:t>Н</w:t>
            </w:r>
            <w:r w:rsidRPr="0053429E">
              <w:t xml:space="preserve">аціонального університету </w:t>
            </w:r>
            <w:r w:rsidR="00A743A7">
              <w:t>«Запорізька політехніка</w:t>
            </w:r>
            <w:r w:rsidRPr="0053429E">
              <w:t>», які затверджені Вченою Радою і є актуальними на рік вступу на навчання.</w:t>
            </w:r>
          </w:p>
        </w:tc>
      </w:tr>
      <w:tr w:rsidR="00B12A98">
        <w:trPr>
          <w:trHeight w:val="356"/>
        </w:trPr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Мова(и) викладання</w:t>
            </w:r>
          </w:p>
          <w:p w:rsidR="00B12A98" w:rsidRDefault="00B12A98">
            <w:pPr>
              <w:spacing w:line="240" w:lineRule="auto"/>
              <w:ind w:left="0" w:hanging="2"/>
            </w:pPr>
          </w:p>
        </w:tc>
        <w:tc>
          <w:tcPr>
            <w:tcW w:w="6807" w:type="dxa"/>
          </w:tcPr>
          <w:p w:rsidR="00B12A98" w:rsidRDefault="00713ECA">
            <w:pPr>
              <w:spacing w:line="240" w:lineRule="auto"/>
              <w:ind w:left="1" w:hanging="3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Українська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Термін дії освітньої програми</w:t>
            </w:r>
          </w:p>
        </w:tc>
        <w:tc>
          <w:tcPr>
            <w:tcW w:w="6807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t>До введення в дію наступної редакції</w:t>
            </w:r>
          </w:p>
        </w:tc>
      </w:tr>
      <w:tr w:rsidR="00B12A98">
        <w:tc>
          <w:tcPr>
            <w:tcW w:w="3044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Інтернет-адреса</w:t>
            </w:r>
            <w:proofErr w:type="spellEnd"/>
            <w:r>
              <w:rPr>
                <w:b/>
              </w:rPr>
              <w:t xml:space="preserve"> постійного</w:t>
            </w:r>
          </w:p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розміщення опису освітньої програми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r>
              <w:t>https://zp.edu.ua/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1.2 – Мета освітньої програми</w:t>
            </w:r>
          </w:p>
        </w:tc>
      </w:tr>
      <w:tr w:rsidR="00B12A98">
        <w:tc>
          <w:tcPr>
            <w:tcW w:w="9851" w:type="dxa"/>
            <w:gridSpan w:val="2"/>
            <w:tcBorders>
              <w:bottom w:val="single" w:sz="4" w:space="0" w:color="000000"/>
            </w:tcBorders>
          </w:tcPr>
          <w:p w:rsidR="00B12A98" w:rsidRDefault="00713ECA" w:rsidP="00A743A7">
            <w:pPr>
              <w:spacing w:line="240" w:lineRule="auto"/>
              <w:ind w:left="0" w:hanging="2"/>
            </w:pPr>
            <w:r>
              <w:t xml:space="preserve">Забезпечити підготовку </w:t>
            </w:r>
            <w:r w:rsidR="00A743A7">
              <w:t xml:space="preserve">докторів філософії за спеціальністю будівництво та цивільна інженерія </w:t>
            </w:r>
            <w:r>
              <w:t>шляхом</w:t>
            </w:r>
            <w:r w:rsidR="00A743A7">
              <w:t xml:space="preserve"> </w:t>
            </w:r>
            <w:r w:rsidR="00A743A7" w:rsidRPr="00A743A7">
              <w:t>формування у здобувачів вищої освіти комплексу знань, умінь та навичок, необхідних для розв’язування складних інженерно-технічних та/або науково-дослідних задач і проблем у сфері будівництва та цивільної інженерії</w:t>
            </w:r>
            <w:r w:rsidR="00A743A7">
              <w:t>, для підготовки в</w:t>
            </w:r>
            <w:r w:rsidR="00A743A7" w:rsidRPr="00A743A7">
              <w:t>исококваліфікованих, конк</w:t>
            </w:r>
            <w:r w:rsidR="00A743A7">
              <w:t>урентосп</w:t>
            </w:r>
            <w:r w:rsidR="00A743A7" w:rsidRPr="00A743A7">
              <w:t>роможних, інтегрованих у світовий</w:t>
            </w:r>
            <w:r w:rsidR="00A743A7">
              <w:t xml:space="preserve"> та вітчизняний</w:t>
            </w:r>
            <w:r w:rsidR="00A743A7" w:rsidRPr="00A743A7">
              <w:t xml:space="preserve"> науково-освітні прост</w:t>
            </w:r>
            <w:r w:rsidR="00A743A7">
              <w:t>ори фахівців.</w:t>
            </w:r>
            <w:r w:rsidR="00A743A7" w:rsidRPr="00A743A7">
              <w:t xml:space="preserve"> 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1.3 - Характеристика освітньої програми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Предметна область (галузь</w:t>
            </w:r>
          </w:p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знань, спеціальність,</w:t>
            </w:r>
          </w:p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спеціалізація (за наявності))</w:t>
            </w:r>
          </w:p>
        </w:tc>
        <w:tc>
          <w:tcPr>
            <w:tcW w:w="6807" w:type="dxa"/>
          </w:tcPr>
          <w:p w:rsidR="00B12A98" w:rsidRDefault="00713ECA">
            <w:pPr>
              <w:spacing w:line="240" w:lineRule="auto"/>
              <w:ind w:left="0" w:hanging="2"/>
              <w:jc w:val="both"/>
            </w:pPr>
            <w:r>
              <w:t xml:space="preserve">Об'єкти вивчення та діяльності: </w:t>
            </w:r>
            <w:r w:rsidR="00A743A7" w:rsidRPr="00A743A7">
              <w:t>наукові основи, технології, об’єкти та споруди, процеси проектування, створення, експлуатації, зберігання і реконструкції будівельних об’єктів та інженерних систем</w:t>
            </w:r>
            <w:r>
              <w:t>.</w:t>
            </w:r>
          </w:p>
          <w:p w:rsidR="00B12A98" w:rsidRDefault="00713ECA">
            <w:pPr>
              <w:spacing w:line="240" w:lineRule="auto"/>
              <w:ind w:left="0" w:hanging="2"/>
              <w:jc w:val="both"/>
            </w:pPr>
            <w:r>
              <w:t>Мета навчання: формування у здобувачів вищої освіти комплексу знань, умінь та навичок, необхідних для розв’язання складних спеціалізованих задач та вирішення практичних питань у сфері бу</w:t>
            </w:r>
            <w:r w:rsidR="00463DD6">
              <w:t>дівництва та цивільної інженерії та</w:t>
            </w:r>
            <w:r w:rsidR="00A743A7">
              <w:t xml:space="preserve"> </w:t>
            </w:r>
            <w:r w:rsidR="00463DD6">
              <w:t xml:space="preserve">здійснення </w:t>
            </w:r>
            <w:r w:rsidR="00A743A7">
              <w:t>науково-дослідницької, науково-</w:t>
            </w:r>
            <w:r w:rsidR="00A743A7" w:rsidRPr="00A743A7">
              <w:t>організаційної, педагогічно</w:t>
            </w:r>
            <w:r w:rsidR="00463DD6">
              <w:t xml:space="preserve">ї </w:t>
            </w:r>
            <w:r w:rsidR="00A743A7" w:rsidRPr="00A743A7">
              <w:t>та практич</w:t>
            </w:r>
            <w:r w:rsidR="00463DD6">
              <w:t xml:space="preserve">ної діяльності в професійній та дослідницькій </w:t>
            </w:r>
            <w:r w:rsidR="00A743A7" w:rsidRPr="00A743A7">
              <w:t>діяльності</w:t>
            </w:r>
            <w:r>
              <w:t>.</w:t>
            </w:r>
          </w:p>
          <w:p w:rsidR="00B12A98" w:rsidRDefault="00713ECA">
            <w:pPr>
              <w:spacing w:line="240" w:lineRule="auto"/>
              <w:ind w:left="0" w:hanging="2"/>
              <w:jc w:val="both"/>
            </w:pPr>
            <w:r>
              <w:t xml:space="preserve">Теоретичний зміст предметної області: </w:t>
            </w:r>
            <w:r w:rsidR="00463DD6" w:rsidRPr="00463DD6">
              <w:t>поняття, концепції, принципи, способи та методи створення та утримання будівельних об’єктів та інженерних систем</w:t>
            </w:r>
            <w:r>
              <w:t>.</w:t>
            </w:r>
          </w:p>
          <w:p w:rsidR="00B12A98" w:rsidRDefault="00713ECA">
            <w:pPr>
              <w:spacing w:line="240" w:lineRule="auto"/>
              <w:ind w:left="0" w:hanging="2"/>
              <w:jc w:val="both"/>
            </w:pPr>
            <w:r>
              <w:t xml:space="preserve">Методи, методики та технології: </w:t>
            </w:r>
            <w:r w:rsidR="00463DD6" w:rsidRPr="00463DD6">
              <w:t xml:space="preserve">експериментальні методи </w:t>
            </w:r>
            <w:r w:rsidR="00463DD6" w:rsidRPr="00463DD6">
              <w:lastRenderedPageBreak/>
              <w:t>досліджень матеріалів і процесів, методи фізичного та математичного моделювання, методики проектування, технології зведення будівельних об’єктів та інженерних систем</w:t>
            </w:r>
            <w:r>
              <w:t>.</w:t>
            </w:r>
          </w:p>
          <w:p w:rsidR="00B12A98" w:rsidRDefault="00713ECA">
            <w:pPr>
              <w:spacing w:line="240" w:lineRule="auto"/>
              <w:ind w:left="0" w:hanging="2"/>
              <w:jc w:val="both"/>
            </w:pPr>
            <w:r>
              <w:t xml:space="preserve">Інструменти та обладнання: </w:t>
            </w:r>
            <w:r w:rsidR="00463DD6" w:rsidRPr="00463DD6">
              <w:t>експериментально-вимірювальне обладнання, устаткування та програмне забезпечення, необхідне для натурних, лабораторних та дистанційних досліджень у будівництві та цивільній інженерії</w:t>
            </w:r>
            <w:r>
              <w:t>.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lastRenderedPageBreak/>
              <w:t>Орієнтація освітньої програми</w:t>
            </w:r>
          </w:p>
        </w:tc>
        <w:tc>
          <w:tcPr>
            <w:tcW w:w="6807" w:type="dxa"/>
          </w:tcPr>
          <w:p w:rsidR="00B12A98" w:rsidRDefault="00F1222F">
            <w:pPr>
              <w:spacing w:line="240" w:lineRule="auto"/>
              <w:ind w:left="0" w:hanging="2"/>
            </w:pPr>
            <w:proofErr w:type="spellStart"/>
            <w:r>
              <w:t>Освітньо-наукова</w:t>
            </w:r>
            <w:proofErr w:type="spellEnd"/>
            <w:r w:rsidR="00463DD6">
              <w:t xml:space="preserve"> </w:t>
            </w:r>
            <w:r w:rsidR="00463DD6" w:rsidRPr="00463DD6">
              <w:t>програма, спрямована на академічну підготовку наукових та науково-педагогічних фахівців.</w:t>
            </w:r>
          </w:p>
          <w:p w:rsidR="00B12A98" w:rsidRDefault="00463DD6" w:rsidP="00463DD6">
            <w:pPr>
              <w:spacing w:line="240" w:lineRule="auto"/>
              <w:ind w:left="0" w:hanging="2"/>
              <w:jc w:val="both"/>
            </w:pPr>
            <w:proofErr w:type="spellStart"/>
            <w:r>
              <w:t>Освітньо-наукова</w:t>
            </w:r>
            <w:proofErr w:type="spellEnd"/>
            <w:r>
              <w:t xml:space="preserve"> п</w:t>
            </w:r>
            <w:r w:rsidR="00713ECA">
              <w:t>рограма враховує сучасні тенденції розвитку будівельної галузі</w:t>
            </w:r>
            <w:r>
              <w:t xml:space="preserve">, </w:t>
            </w:r>
            <w:r w:rsidRPr="00463DD6">
              <w:t xml:space="preserve">спрямована на вивчення та дослідження актуальних </w:t>
            </w:r>
            <w:r>
              <w:t>аспектів спеціальності «Будівни</w:t>
            </w:r>
            <w:r w:rsidRPr="00463DD6">
              <w:t>цтво та цивільна інженерія»</w:t>
            </w:r>
            <w:r>
              <w:t>,</w:t>
            </w:r>
            <w:r w:rsidR="00713ECA">
              <w:t xml:space="preserve"> охоплює дисципліни, які передбачають поєднання теоретичних знань з практичними вміннями та навичками. 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Основний фокус освітньої</w:t>
            </w:r>
          </w:p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програми та спеціалізації</w:t>
            </w:r>
          </w:p>
        </w:tc>
        <w:tc>
          <w:tcPr>
            <w:tcW w:w="6807" w:type="dxa"/>
          </w:tcPr>
          <w:p w:rsidR="00B12A98" w:rsidRDefault="00B12A98">
            <w:pPr>
              <w:spacing w:line="240" w:lineRule="auto"/>
              <w:ind w:left="0" w:hanging="2"/>
              <w:rPr>
                <w:color w:val="000000"/>
              </w:rPr>
            </w:pPr>
          </w:p>
          <w:p w:rsidR="00B12A98" w:rsidRDefault="00F1222F">
            <w:pPr>
              <w:spacing w:line="240" w:lineRule="auto"/>
              <w:ind w:left="0" w:hanging="2"/>
            </w:pPr>
            <w:r>
              <w:rPr>
                <w:color w:val="000000"/>
              </w:rPr>
              <w:t>Будівництво та цивільна інженерія</w:t>
            </w:r>
          </w:p>
        </w:tc>
      </w:tr>
      <w:tr w:rsidR="00B12A98">
        <w:tc>
          <w:tcPr>
            <w:tcW w:w="3044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Особливості програми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B12A98" w:rsidRDefault="00713ECA" w:rsidP="003C1CEA">
            <w:pPr>
              <w:spacing w:line="240" w:lineRule="auto"/>
              <w:ind w:left="0" w:hanging="2"/>
            </w:pPr>
            <w:r>
              <w:t xml:space="preserve">Програма враховує сучасні тенденції розвитку будівельної галузі та охоплює дисципліни, які передбачають поєднання теоретичних знань з практичними вміннями та навичками майбутньої професійної діяльності. За рахунок вибіркової складової, передбачається формування індивідуальної траєкторії з орієнтацією на розвиток </w:t>
            </w:r>
            <w:r w:rsidR="003C1CEA">
              <w:t xml:space="preserve">різних </w:t>
            </w:r>
            <w:r w:rsidR="00463DD6">
              <w:t>напрямк</w:t>
            </w:r>
            <w:r w:rsidR="003C1CEA">
              <w:t>ів</w:t>
            </w:r>
            <w:r w:rsidR="00463DD6">
              <w:t xml:space="preserve"> у</w:t>
            </w:r>
            <w:r>
              <w:t xml:space="preserve"> будівельно</w:t>
            </w:r>
            <w:r w:rsidR="00463DD6">
              <w:t>му</w:t>
            </w:r>
            <w:r>
              <w:t xml:space="preserve"> виробництв</w:t>
            </w:r>
            <w:r w:rsidR="00463DD6">
              <w:t>і</w:t>
            </w:r>
            <w:r>
              <w:t xml:space="preserve"> та розв’язання </w:t>
            </w:r>
            <w:r w:rsidR="00463DD6">
              <w:t>наукових та</w:t>
            </w:r>
            <w:r>
              <w:t xml:space="preserve"> прикладних задач будівництва та цивільної інженерії.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1.4 – Придатність випускників до працевлаштування та подальшого навчання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Придатність до працевлаштування</w:t>
            </w:r>
          </w:p>
        </w:tc>
        <w:tc>
          <w:tcPr>
            <w:tcW w:w="6807" w:type="dxa"/>
          </w:tcPr>
          <w:p w:rsidR="00B12A98" w:rsidRDefault="003C1CEA">
            <w:pPr>
              <w:spacing w:line="240" w:lineRule="auto"/>
              <w:ind w:left="0" w:hanging="2"/>
              <w:jc w:val="both"/>
            </w:pPr>
            <w:r w:rsidRPr="003C1CEA">
              <w:t>Випускники аспірант</w:t>
            </w:r>
            <w:r>
              <w:t>ури мають перспективи працевлаш</w:t>
            </w:r>
            <w:r w:rsidRPr="003C1CEA">
              <w:t>тування у ЗВО та наукових установах України і Європи (молодший науковий с</w:t>
            </w:r>
            <w:r>
              <w:t>півробітник, науковий співробіт</w:t>
            </w:r>
            <w:r w:rsidRPr="003C1CEA">
              <w:t>ник, науковий співробі</w:t>
            </w:r>
            <w:r>
              <w:t>тник-консультант, викладач вищо</w:t>
            </w:r>
            <w:r w:rsidRPr="003C1CEA">
              <w:t xml:space="preserve">го навчального закладу), </w:t>
            </w:r>
            <w:r>
              <w:t>в органах державної влади та ор</w:t>
            </w:r>
            <w:r w:rsidRPr="003C1CEA">
              <w:t>ганах місцевого самовряд</w:t>
            </w:r>
            <w:r>
              <w:t>ування та в організаціях і підп</w:t>
            </w:r>
            <w:r w:rsidRPr="003C1CEA">
              <w:t>риємствах будівельної га</w:t>
            </w:r>
            <w:r>
              <w:t>лузі України, згідно Національ</w:t>
            </w:r>
            <w:r w:rsidRPr="003C1CEA">
              <w:t>ного класифікатора України (Класифікатор професій №64 (ДК 003:2010).</w:t>
            </w:r>
          </w:p>
        </w:tc>
      </w:tr>
      <w:tr w:rsidR="00B12A98">
        <w:tc>
          <w:tcPr>
            <w:tcW w:w="3044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Подальше навчання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r>
              <w:t>Можливість навчатися за програмою другого (магістерського) рівня вищої освіти та здобувати додаткові кваліфікації в системі освіти протягом життя.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1.5 – Викладання та оцінювання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Викладання та навчання</w:t>
            </w:r>
          </w:p>
        </w:tc>
        <w:tc>
          <w:tcPr>
            <w:tcW w:w="6807" w:type="dxa"/>
          </w:tcPr>
          <w:p w:rsidR="003C1CEA" w:rsidRDefault="003C1CEA">
            <w:pPr>
              <w:spacing w:line="240" w:lineRule="auto"/>
              <w:ind w:left="0" w:hanging="2"/>
              <w:jc w:val="both"/>
            </w:pPr>
            <w:r w:rsidRPr="003C1CEA">
              <w:t>В ОНП навчання і викладання передбачено: формування гнучких індивідуальних навчальних траєкторій; широке використання різноман</w:t>
            </w:r>
            <w:r>
              <w:t xml:space="preserve">ітних педагогічних методів; </w:t>
            </w:r>
            <w:r w:rsidRPr="003C1CEA">
              <w:t>забезпеч</w:t>
            </w:r>
            <w:r w:rsidR="00193610">
              <w:t>ення</w:t>
            </w:r>
            <w:r w:rsidRPr="003C1CEA">
              <w:t xml:space="preserve"> </w:t>
            </w:r>
            <w:r>
              <w:t>відповідн</w:t>
            </w:r>
            <w:r w:rsidR="00193610">
              <w:t>ого супрово</w:t>
            </w:r>
            <w:r>
              <w:t>д</w:t>
            </w:r>
            <w:r w:rsidR="00193610">
              <w:t>у</w:t>
            </w:r>
            <w:r>
              <w:t xml:space="preserve"> </w:t>
            </w:r>
            <w:r w:rsidR="00193610">
              <w:t>та</w:t>
            </w:r>
            <w:r>
              <w:t xml:space="preserve"> підтри</w:t>
            </w:r>
            <w:r w:rsidRPr="003C1CEA">
              <w:t>мк</w:t>
            </w:r>
            <w:r w:rsidR="00193610">
              <w:t xml:space="preserve">а </w:t>
            </w:r>
            <w:r w:rsidRPr="003C1CEA">
              <w:t>з боку наукового ке</w:t>
            </w:r>
            <w:r>
              <w:t>рівника (викладача) та адмініст</w:t>
            </w:r>
            <w:r w:rsidRPr="003C1CEA">
              <w:t>рації.</w:t>
            </w:r>
          </w:p>
          <w:p w:rsidR="003C1CEA" w:rsidRDefault="003C1CEA" w:rsidP="003C1CEA">
            <w:pPr>
              <w:spacing w:line="240" w:lineRule="auto"/>
              <w:ind w:left="0" w:hanging="2"/>
              <w:jc w:val="both"/>
            </w:pPr>
            <w:r w:rsidRPr="003C1CEA">
              <w:t>Лекційні та практичні заняття, консультації, робота з науковою літературою, педагогічна практика, виступи на конференціях, написання наукових праць та оформлення дисертації.</w:t>
            </w:r>
          </w:p>
        </w:tc>
      </w:tr>
      <w:tr w:rsidR="00B12A98">
        <w:tc>
          <w:tcPr>
            <w:tcW w:w="3044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Оцінювання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B12A98" w:rsidRDefault="003C1CEA">
            <w:pPr>
              <w:spacing w:line="240" w:lineRule="auto"/>
              <w:ind w:left="0" w:hanging="2"/>
              <w:jc w:val="both"/>
            </w:pPr>
            <w:r w:rsidRPr="003C1CEA">
              <w:t>Письмові та усні заліки, поточне оцінювання (тестування, виконання практичних робіт, презентацій, індивідуальних дослідницьких завдань), презентація власних наукових досягнень.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>1.6 – Програмні компетентності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Інтегральна компетентність</w:t>
            </w:r>
          </w:p>
        </w:tc>
        <w:tc>
          <w:tcPr>
            <w:tcW w:w="6807" w:type="dxa"/>
          </w:tcPr>
          <w:p w:rsidR="00B12A98" w:rsidRDefault="0033391C" w:rsidP="0033391C">
            <w:pPr>
              <w:spacing w:line="240" w:lineRule="auto"/>
              <w:ind w:left="0" w:hanging="2"/>
              <w:jc w:val="both"/>
            </w:pPr>
            <w:r w:rsidRPr="0033391C">
              <w:t>Здатність продукувати нові ідеї, розв'язувати комплексні проблеми у галузі будівництва та цивільної інженерії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Загальні компетентності</w:t>
            </w:r>
          </w:p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(ЗК)</w:t>
            </w:r>
          </w:p>
        </w:tc>
        <w:tc>
          <w:tcPr>
            <w:tcW w:w="6807" w:type="dxa"/>
          </w:tcPr>
          <w:p w:rsidR="0033391C" w:rsidRDefault="0033391C" w:rsidP="0033391C">
            <w:pPr>
              <w:spacing w:line="240" w:lineRule="auto"/>
              <w:ind w:left="0" w:hanging="2"/>
              <w:jc w:val="both"/>
            </w:pPr>
            <w:r>
              <w:t>ЗК01. Здатність до пошуку, оброблення та аналізу інформації з різних джерел.</w:t>
            </w:r>
          </w:p>
          <w:p w:rsidR="0033391C" w:rsidRDefault="0033391C" w:rsidP="0033391C">
            <w:pPr>
              <w:spacing w:line="240" w:lineRule="auto"/>
              <w:ind w:left="0" w:hanging="2"/>
              <w:jc w:val="both"/>
            </w:pPr>
            <w:r>
              <w:t>ЗК02. Здатність проводити дослідження на відповідному рівні.</w:t>
            </w:r>
          </w:p>
          <w:p w:rsidR="0033391C" w:rsidRDefault="0033391C" w:rsidP="0033391C">
            <w:pPr>
              <w:spacing w:line="240" w:lineRule="auto"/>
              <w:ind w:left="0" w:hanging="2"/>
              <w:jc w:val="both"/>
            </w:pPr>
            <w:r>
              <w:t>ЗК03. Здатність працювати автономно.</w:t>
            </w:r>
          </w:p>
          <w:p w:rsidR="0033391C" w:rsidRDefault="0033391C" w:rsidP="0033391C">
            <w:pPr>
              <w:spacing w:line="240" w:lineRule="auto"/>
              <w:ind w:left="0" w:hanging="2"/>
              <w:jc w:val="both"/>
            </w:pPr>
            <w:r>
              <w:t>ЗК04. Здатність приймати обґрунтовані рішення.</w:t>
            </w:r>
          </w:p>
          <w:p w:rsidR="0033391C" w:rsidRDefault="0033391C" w:rsidP="0033391C">
            <w:pPr>
              <w:spacing w:line="240" w:lineRule="auto"/>
              <w:ind w:left="0" w:hanging="2"/>
              <w:jc w:val="both"/>
            </w:pPr>
            <w:r>
              <w:t>ЗК05. Здатність генерувати нові ідеї (креативність).</w:t>
            </w:r>
          </w:p>
          <w:p w:rsidR="00B12A98" w:rsidRDefault="00193610" w:rsidP="0033391C">
            <w:pPr>
              <w:spacing w:line="240" w:lineRule="auto"/>
              <w:ind w:left="0" w:hanging="2"/>
              <w:jc w:val="both"/>
            </w:pPr>
            <w:r>
              <w:t xml:space="preserve">ЗК06. </w:t>
            </w:r>
            <w:r w:rsidR="0033391C">
              <w:t>Формування системного наукового/мистецького світогляду, професійної етики та загального культурного кругозору.</w:t>
            </w:r>
          </w:p>
        </w:tc>
      </w:tr>
      <w:tr w:rsidR="00B12A98">
        <w:tc>
          <w:tcPr>
            <w:tcW w:w="3044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Фахові компетентності</w:t>
            </w:r>
          </w:p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спеціальності (СК)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33391C" w:rsidRDefault="0033391C" w:rsidP="009340BA">
            <w:pPr>
              <w:spacing w:line="240" w:lineRule="auto"/>
              <w:ind w:left="0" w:hanging="2"/>
              <w:jc w:val="both"/>
            </w:pPr>
            <w:r>
              <w:t xml:space="preserve">СК01. </w:t>
            </w:r>
            <w:r w:rsidR="009340BA" w:rsidRPr="009340BA">
              <w:t>Концептуальні та методологічні знання в галузі будівництва та цивільної інженерії</w:t>
            </w:r>
            <w:r w:rsidR="009340BA">
              <w:t>.</w:t>
            </w:r>
            <w:r>
              <w:t xml:space="preserve"> </w:t>
            </w:r>
          </w:p>
          <w:p w:rsidR="0033391C" w:rsidRPr="009340BA" w:rsidRDefault="0033391C" w:rsidP="009340BA">
            <w:pPr>
              <w:spacing w:line="240" w:lineRule="auto"/>
              <w:ind w:left="0" w:hanging="2"/>
              <w:jc w:val="both"/>
            </w:pPr>
            <w:r>
              <w:t xml:space="preserve">СК02. </w:t>
            </w:r>
            <w:r w:rsidR="009340BA" w:rsidRPr="009340BA">
              <w:t>Здатність демонструвати спеціалізовані уміння/навички і методи, необхідні для розв’язання значущих проблем у сфері архітектури та будівництва, науки та/або інновацій, розширення та переоцінки вже існуючих знань і професійної практики</w:t>
            </w:r>
            <w:r w:rsidR="009340BA">
              <w:t>.</w:t>
            </w:r>
          </w:p>
          <w:p w:rsidR="0033391C" w:rsidRDefault="0033391C" w:rsidP="009340BA">
            <w:pPr>
              <w:spacing w:line="240" w:lineRule="auto"/>
              <w:ind w:left="0" w:hanging="2"/>
              <w:jc w:val="both"/>
            </w:pPr>
            <w:r>
              <w:t xml:space="preserve">СК03. </w:t>
            </w:r>
            <w:r w:rsidR="009340BA" w:rsidRPr="009340BA">
              <w:t>Здатність до започаткування, планування, реалізації та коригування послідовного процесу ґрунтовного наукового дослідження  з дотриманням належної академічної доброчесності</w:t>
            </w:r>
            <w:r w:rsidR="009340BA">
              <w:t>.</w:t>
            </w:r>
          </w:p>
          <w:p w:rsidR="009340BA" w:rsidRDefault="0033391C" w:rsidP="009340BA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t xml:space="preserve">СК04. </w:t>
            </w:r>
            <w:r w:rsidR="009340BA" w:rsidRPr="009340BA">
              <w:t>Здатність до критичн</w:t>
            </w:r>
            <w:r w:rsidR="00193610">
              <w:t>ого</w:t>
            </w:r>
            <w:r w:rsidR="009340BA" w:rsidRPr="009340BA">
              <w:t xml:space="preserve"> аналіз</w:t>
            </w:r>
            <w:r w:rsidR="00193610">
              <w:t>у</w:t>
            </w:r>
            <w:r w:rsidR="009340BA" w:rsidRPr="009340BA">
              <w:t>, оцінка і синтез нових та комплексних ідей.</w:t>
            </w:r>
          </w:p>
          <w:p w:rsidR="009340BA" w:rsidRDefault="0033391C" w:rsidP="009340BA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t xml:space="preserve">СК05. </w:t>
            </w:r>
            <w:r w:rsidR="009340BA" w:rsidRPr="009340BA">
              <w:t>Здатність до вільного спілкування з питань, що стосуються сфери наукових та експертних знань у сфері архітектури та будівництва, з колегами, широкою науковою спільнотою, суспільством у цілому.</w:t>
            </w:r>
          </w:p>
          <w:p w:rsidR="006D7F9D" w:rsidRDefault="0033391C" w:rsidP="009340BA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t xml:space="preserve">СК06. </w:t>
            </w:r>
            <w:r w:rsidR="006D7F9D" w:rsidRPr="006D7F9D">
              <w:t>Здатність використовувати академічну українську та іноземну мови у професі</w:t>
            </w:r>
            <w:r w:rsidR="006D7F9D">
              <w:t>йній діяльності та дослідженнях</w:t>
            </w:r>
            <w:r w:rsidR="006D7F9D">
              <w:rPr>
                <w:lang w:val="ru-RU"/>
              </w:rPr>
              <w:t>.</w:t>
            </w:r>
          </w:p>
          <w:p w:rsidR="009340BA" w:rsidRPr="009340BA" w:rsidRDefault="0033391C" w:rsidP="009340BA">
            <w:pPr>
              <w:spacing w:line="240" w:lineRule="auto"/>
              <w:ind w:left="0" w:hanging="2"/>
              <w:jc w:val="both"/>
            </w:pPr>
            <w:r>
              <w:t xml:space="preserve">СК07. </w:t>
            </w:r>
            <w:r w:rsidR="009340BA" w:rsidRPr="009340BA">
              <w:t xml:space="preserve">Здатність демонструвати значну авторитетність, </w:t>
            </w:r>
            <w:proofErr w:type="spellStart"/>
            <w:r w:rsidR="009340BA" w:rsidRPr="009340BA">
              <w:t>інноваційність</w:t>
            </w:r>
            <w:proofErr w:type="spellEnd"/>
            <w:r w:rsidR="009340BA" w:rsidRPr="009340BA">
              <w:t>, високий ступінь самостійності, академічна та професійна доброчесність, постійна відданість розвитку нових ідей або процесів у передових контекстах професійної та наукової діяльності.</w:t>
            </w:r>
          </w:p>
          <w:p w:rsidR="00B12A98" w:rsidRDefault="0033391C" w:rsidP="009340BA">
            <w:pPr>
              <w:spacing w:line="240" w:lineRule="auto"/>
              <w:ind w:left="0" w:hanging="2"/>
              <w:jc w:val="both"/>
            </w:pPr>
            <w:r>
              <w:t xml:space="preserve">СК08. </w:t>
            </w:r>
            <w:r w:rsidR="009340BA" w:rsidRPr="009340BA">
              <w:t>Здатність до безперервного саморозвитку та самовдосконалення.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1.7 – Програмні результати навчання</w:t>
            </w:r>
          </w:p>
        </w:tc>
      </w:tr>
      <w:tr w:rsidR="00B12A98">
        <w:tc>
          <w:tcPr>
            <w:tcW w:w="9851" w:type="dxa"/>
            <w:gridSpan w:val="2"/>
            <w:tcBorders>
              <w:bottom w:val="single" w:sz="4" w:space="0" w:color="000000"/>
            </w:tcBorders>
          </w:tcPr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>РН01. Формулювати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(опитувань, спостережень) і математичного та/або комп'ютерного моделювання, наявні літературні дані.</w:t>
            </w:r>
          </w:p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>РН02. Розробляти та досліджувати концептуальні, математичні і комп'ютерні моделі процесів, систем, об'єктів та явищ, ефективно використовувати їх для отримання нових знань та/або створення інноваційних продуктів у будівельній інженерії та дотичних міждисциплінарних напрямах.</w:t>
            </w:r>
          </w:p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 xml:space="preserve">РН03. Планувати і виконувати експериментальні та/або теоретичні дослідження з </w:t>
            </w:r>
            <w:r>
              <w:lastRenderedPageBreak/>
              <w:t>будівельної інженерії та дотичних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 xml:space="preserve">РН04. Застосовувати сучасні інструменти і технології пошуку, оброблення та аналізу інформації, зокрема, статистичні методи аналізу даних великого обсягу та/або складної структури, спеціалізовані бази даних та інформаційні системи. </w:t>
            </w:r>
          </w:p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 xml:space="preserve">РН05. Розробляти та реалізовувати наукові та/або інноваційні інженерні </w:t>
            </w:r>
            <w:proofErr w:type="spellStart"/>
            <w:r>
              <w:t>проєкти</w:t>
            </w:r>
            <w:proofErr w:type="spellEnd"/>
            <w:r>
              <w:t xml:space="preserve">, які дають можливість переосмислити наявне та створити нове цілісне знання та/або професійну практику і розв'язувати значущі наукові та технологічні проблеми будівельної інженерії з дотриманням норм академічної етики і врахуванням соціальних, економічних, екологічних та правових аспектів. </w:t>
            </w:r>
          </w:p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>РН06. Досліджувати, розробляти, застосовувати, вдосконалювати та впроваджувати рішення, засоби та методи інженерних і точних наук, а також методи та технології будівельної інженерії для вирішення проблем, пов'язаних зі стаціонарною роботою будівельних споруд.</w:t>
            </w:r>
          </w:p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>РН07. Вирішувати завдання і проблеми будівельної інженерії для штучного створення або заміни будівельних матеріалів для штучного вдосконалення і корекції їх функцій.</w:t>
            </w:r>
          </w:p>
          <w:p w:rsidR="004A0E61" w:rsidRDefault="004A0E61" w:rsidP="004A0E61">
            <w:pPr>
              <w:spacing w:line="240" w:lineRule="auto"/>
              <w:ind w:left="0" w:hanging="2"/>
              <w:jc w:val="both"/>
            </w:pPr>
            <w:r>
              <w:t>РН08. Читати та розуміти наукові англомовні тексти, спілкуватися англійською мовою на спеціалізовані теми, володіти навичками академічного письма.</w:t>
            </w:r>
          </w:p>
          <w:p w:rsidR="004A0E61" w:rsidRPr="00E07CFA" w:rsidRDefault="004A0E61" w:rsidP="004A0E61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t xml:space="preserve">РН09. </w:t>
            </w:r>
            <w:r w:rsidR="006D7F9D" w:rsidRPr="006D7F9D">
              <w:t>Демонструвати системний науковий світогляд та філософсько-культурний кругозір, який включає розвине</w:t>
            </w:r>
            <w:r w:rsidR="006D7F9D">
              <w:t xml:space="preserve"> </w:t>
            </w:r>
            <w:r w:rsidR="006D7F9D" w:rsidRPr="006D7F9D">
              <w:t xml:space="preserve">не критичне мислення, </w:t>
            </w:r>
            <w:r w:rsidR="00114FED">
              <w:t>професійну етику, академічну до</w:t>
            </w:r>
            <w:r w:rsidR="006D7F9D" w:rsidRPr="006D7F9D">
              <w:t>брочесність, повагу до рі</w:t>
            </w:r>
            <w:r w:rsidR="00114FED">
              <w:t>зноманітності та мультикультур</w:t>
            </w:r>
            <w:r w:rsidR="006D7F9D" w:rsidRPr="006D7F9D">
              <w:t>ності в поєднанні з володінням передовими методиками викладання у вищій школі</w:t>
            </w:r>
            <w:r>
              <w:t>.</w:t>
            </w:r>
          </w:p>
          <w:p w:rsidR="00B12A98" w:rsidRPr="006D7F9D" w:rsidRDefault="004A0E61" w:rsidP="000C2CA8">
            <w:pPr>
              <w:spacing w:line="240" w:lineRule="auto"/>
              <w:ind w:left="0" w:hanging="2"/>
              <w:jc w:val="both"/>
              <w:rPr>
                <w:lang w:val="ru-RU"/>
              </w:rPr>
            </w:pPr>
            <w:r>
              <w:t>РН10. Досліджувати, розробляти, застосовувати та вдосконалювати фундаментальні методи і прикладні інструменти для архі</w:t>
            </w:r>
            <w:r w:rsidR="006D7F9D">
              <w:t>тектурних та будівельних задач.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>1.8 – Ресурсне забезпечення реалізації програми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Кадрове забезпечення</w:t>
            </w:r>
          </w:p>
        </w:tc>
        <w:tc>
          <w:tcPr>
            <w:tcW w:w="6807" w:type="dxa"/>
          </w:tcPr>
          <w:p w:rsidR="000E701C" w:rsidRDefault="000E701C" w:rsidP="000E701C">
            <w:pPr>
              <w:spacing w:line="240" w:lineRule="auto"/>
              <w:ind w:left="0" w:hanging="2"/>
              <w:jc w:val="both"/>
            </w:pPr>
            <w:r>
              <w:t>Викладачі та фахівці з в</w:t>
            </w:r>
            <w:r w:rsidR="00CA3141">
              <w:t>ідповідних галузей науки, що ма</w:t>
            </w:r>
            <w:r>
              <w:t>ють відповідні вчені зван</w:t>
            </w:r>
            <w:r w:rsidR="00CA3141">
              <w:t>ня та наукові ступені, мають до</w:t>
            </w:r>
            <w:r>
              <w:t>свід використання сучас</w:t>
            </w:r>
            <w:r w:rsidR="00CA3141">
              <w:t>них інформаційних ресурсів у на</w:t>
            </w:r>
            <w:r>
              <w:t>уково-педагогічній діяльності.</w:t>
            </w:r>
          </w:p>
          <w:p w:rsidR="00B12A98" w:rsidRDefault="000E701C" w:rsidP="000E701C">
            <w:pPr>
              <w:spacing w:line="240" w:lineRule="auto"/>
              <w:ind w:left="0" w:hanging="2"/>
              <w:jc w:val="both"/>
            </w:pPr>
            <w:r>
              <w:t xml:space="preserve">Залучення викладачів, </w:t>
            </w:r>
            <w:r w:rsidR="00CA3141">
              <w:t>які володіють іноземною (англій</w:t>
            </w:r>
            <w:r>
              <w:t>ською) мовою на рівні В</w:t>
            </w:r>
            <w:r w:rsidR="00CA3141">
              <w:t>2 та вище (підтверджено відпові</w:t>
            </w:r>
            <w:r>
              <w:t>дними сертифікатами та дипломами про освіту).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Матеріально-технічне забезпечення</w:t>
            </w:r>
          </w:p>
        </w:tc>
        <w:tc>
          <w:tcPr>
            <w:tcW w:w="6807" w:type="dxa"/>
          </w:tcPr>
          <w:p w:rsidR="00B12A98" w:rsidRDefault="00713ECA">
            <w:pPr>
              <w:spacing w:line="240" w:lineRule="auto"/>
              <w:ind w:left="0" w:hanging="2"/>
              <w:jc w:val="both"/>
            </w:pPr>
            <w:r>
              <w:t xml:space="preserve">Приміщення кафедри будівельного виробництва та управління проектами розташовані у 7 навчальних, лабораторних та допоміжних аудиторіях загальною площею 302,5 </w:t>
            </w:r>
            <w:proofErr w:type="spellStart"/>
            <w:r>
              <w:t>кв.м</w:t>
            </w:r>
            <w:proofErr w:type="spellEnd"/>
            <w:r>
              <w:t xml:space="preserve">., які розташовані в п’ятому навчальному корпусі університету. Площа, яка відведена, під навчальні аудиторії, лабораторії та комп’ютерний клас складає 243,7 </w:t>
            </w:r>
            <w:proofErr w:type="spellStart"/>
            <w:r>
              <w:t>кв.м</w:t>
            </w:r>
            <w:proofErr w:type="spellEnd"/>
            <w:r>
              <w:t xml:space="preserve">. Кімнати професорського і викладацького складу займають площу в 58,8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12A98" w:rsidRDefault="000E701C">
            <w:pPr>
              <w:spacing w:line="240" w:lineRule="auto"/>
              <w:ind w:left="0" w:hanging="2"/>
              <w:jc w:val="both"/>
            </w:pPr>
            <w:r w:rsidRPr="000E701C">
              <w:t>Здобувачі освіти забезпечені гуртожитк</w:t>
            </w:r>
            <w:r>
              <w:t>ом. Наявна соціально-</w:t>
            </w:r>
            <w:r w:rsidRPr="000E701C">
              <w:t>побутова та спортивна інфраструктура.</w:t>
            </w:r>
          </w:p>
        </w:tc>
      </w:tr>
      <w:tr w:rsidR="00B12A98">
        <w:tc>
          <w:tcPr>
            <w:tcW w:w="3044" w:type="dxa"/>
            <w:tcBorders>
              <w:bottom w:val="single" w:sz="4" w:space="0" w:color="000000"/>
            </w:tcBorders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6807" w:type="dxa"/>
            <w:tcBorders>
              <w:bottom w:val="single" w:sz="4" w:space="0" w:color="000000"/>
            </w:tcBorders>
          </w:tcPr>
          <w:p w:rsidR="000E701C" w:rsidRPr="00193610" w:rsidRDefault="000E701C" w:rsidP="000E701C">
            <w:pPr>
              <w:spacing w:line="240" w:lineRule="auto"/>
              <w:ind w:left="0" w:hanging="2"/>
              <w:jc w:val="both"/>
            </w:pPr>
            <w:r w:rsidRPr="000E701C">
              <w:t xml:space="preserve">Обсяг, склад та якість інформаційного та </w:t>
            </w:r>
            <w:proofErr w:type="spellStart"/>
            <w:r w:rsidRPr="000E701C">
              <w:t>навчально-</w:t>
            </w:r>
            <w:proofErr w:type="spellEnd"/>
            <w:r w:rsidRPr="000E701C">
              <w:t xml:space="preserve"> методичного забезпеч</w:t>
            </w:r>
            <w:r w:rsidR="00CA3141">
              <w:t>ення повністю відповідають Ліце</w:t>
            </w:r>
            <w:r w:rsidRPr="000E701C">
              <w:t>нзійним умовам впровадж</w:t>
            </w:r>
            <w:r w:rsidR="00CA3141">
              <w:t>ення освітньої діяльності закла</w:t>
            </w:r>
            <w:r w:rsidRPr="000E701C">
              <w:t>дів освіти.</w:t>
            </w:r>
          </w:p>
          <w:p w:rsidR="00B12A98" w:rsidRDefault="00713ECA" w:rsidP="000E701C">
            <w:pPr>
              <w:spacing w:line="240" w:lineRule="auto"/>
              <w:ind w:left="0" w:hanging="2"/>
              <w:jc w:val="both"/>
            </w:pPr>
            <w:r>
              <w:t xml:space="preserve">Доступ до навчально-методичних матеріалів здійснюється через загально-університетську платформу </w:t>
            </w:r>
            <w:proofErr w:type="spellStart"/>
            <w:r>
              <w:t>moodle.zp.edu.ua</w:t>
            </w:r>
            <w:proofErr w:type="spellEnd"/>
            <w:r>
              <w:t>.</w:t>
            </w:r>
          </w:p>
          <w:p w:rsidR="00B12A98" w:rsidRDefault="00713ECA" w:rsidP="000E701C">
            <w:pPr>
              <w:spacing w:line="240" w:lineRule="auto"/>
              <w:ind w:left="0" w:hanging="2"/>
              <w:jc w:val="both"/>
            </w:pPr>
            <w:r>
              <w:t xml:space="preserve">Бібліотека поєднує традиційні бібліотечні фонди (841880 прим.), фонд електронних документів (54828 назв.), технологічні комплекси, що забезпечують доступ до світових інформаційних ресурсів, зокрема до ресурсів </w:t>
            </w:r>
            <w:proofErr w:type="spellStart"/>
            <w:r>
              <w:t>Elsevier</w:t>
            </w:r>
            <w:proofErr w:type="spellEnd"/>
            <w:r>
              <w:t xml:space="preserve"> (SCOPUS),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. </w:t>
            </w:r>
            <w:hyperlink r:id="rId8">
              <w:r>
                <w:rPr>
                  <w:color w:val="0000FF"/>
                  <w:u w:val="single"/>
                </w:rPr>
                <w:t>http://www.zntu.eduua/naukova-</w:t>
              </w:r>
              <w:r>
                <w:rPr>
                  <w:color w:val="0000FF"/>
                  <w:u w:val="single"/>
                </w:rPr>
                <w:lastRenderedPageBreak/>
                <w:t>biblioteka</w:t>
              </w:r>
            </w:hyperlink>
            <w:r>
              <w:t>).</w:t>
            </w:r>
          </w:p>
          <w:p w:rsidR="00B12A98" w:rsidRDefault="00713ECA" w:rsidP="000E701C">
            <w:pPr>
              <w:spacing w:line="240" w:lineRule="auto"/>
              <w:ind w:left="0" w:hanging="2"/>
              <w:jc w:val="both"/>
            </w:pPr>
            <w:proofErr w:type="spellStart"/>
            <w:r>
              <w:t>Нa</w:t>
            </w:r>
            <w:proofErr w:type="spellEnd"/>
            <w:r>
              <w:t xml:space="preserve"> офіційному веб-сайті НУ «Запорізька політехніка» розміщена основна інформація про її діяльність (структура, ліцензії та сертифікати про акредитацію, навчальні та наукові структурні підрозділи та їх склад, правила прийому, контактна інформація).</w:t>
            </w:r>
          </w:p>
        </w:tc>
      </w:tr>
      <w:tr w:rsidR="00B12A98">
        <w:tc>
          <w:tcPr>
            <w:tcW w:w="9851" w:type="dxa"/>
            <w:gridSpan w:val="2"/>
            <w:shd w:val="clear" w:color="auto" w:fill="D9D9D9"/>
          </w:tcPr>
          <w:p w:rsidR="00B12A98" w:rsidRDefault="00713ECA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lastRenderedPageBreak/>
              <w:t>1.9 – Академічна мобільність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Національна кредитна мобільність</w:t>
            </w:r>
          </w:p>
        </w:tc>
        <w:tc>
          <w:tcPr>
            <w:tcW w:w="6807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t xml:space="preserve">Національна кредитна мобільність регламентується Положенням про порядок реалізації права </w:t>
            </w:r>
            <w:proofErr w:type="spellStart"/>
            <w:r>
              <w:t>ira</w:t>
            </w:r>
            <w:proofErr w:type="spellEnd"/>
            <w:r>
              <w:t xml:space="preserve"> академічну мобільність учасників освітнього процесу Національного університету «Запорізька політехніка» </w:t>
            </w:r>
            <w:hyperlink r:id="rId9">
              <w:r>
                <w:rPr>
                  <w:color w:val="0000FF"/>
                  <w:u w:val="single"/>
                </w:rPr>
                <w:t>https://zp.edu.ua/uploads/dept_nm/Polozhennia_pro_akademichnu_mobilnist.pdf</w:t>
              </w:r>
            </w:hyperlink>
            <w:r>
              <w:t>.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Міжнародна кредитна мобільність</w:t>
            </w:r>
          </w:p>
        </w:tc>
        <w:tc>
          <w:tcPr>
            <w:tcW w:w="6807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t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(zntu.edu.ua/uploads/dept_nm/Polozhennia_pro_akademichnu_mobilnist.pdf), а також договорами про міжнародну кредитну мобільність Національного університету «Запорізька політехніка»</w:t>
            </w:r>
          </w:p>
        </w:tc>
      </w:tr>
      <w:tr w:rsidR="00B12A98">
        <w:tc>
          <w:tcPr>
            <w:tcW w:w="3044" w:type="dxa"/>
          </w:tcPr>
          <w:p w:rsidR="00B12A98" w:rsidRDefault="00713ECA">
            <w:pPr>
              <w:spacing w:line="240" w:lineRule="auto"/>
              <w:ind w:left="0" w:hanging="2"/>
            </w:pPr>
            <w:r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6807" w:type="dxa"/>
          </w:tcPr>
          <w:p w:rsidR="00B12A98" w:rsidRDefault="00713ECA" w:rsidP="00CA3141">
            <w:pPr>
              <w:spacing w:line="240" w:lineRule="auto"/>
              <w:ind w:left="0" w:hanging="2"/>
            </w:pPr>
            <w:r>
              <w:t>Регламентовано Положенням про організацію набору та навчання (стажува</w:t>
            </w:r>
            <w:r w:rsidR="00CA3141">
              <w:t>нн</w:t>
            </w:r>
            <w:r>
              <w:t xml:space="preserve">я) іноземців та осіб без громадянства в Національному університеті «Запорізька політехніка» </w:t>
            </w:r>
            <w:hyperlink r:id="rId10">
              <w:r>
                <w:rPr>
                  <w:color w:val="0000FF"/>
                  <w:u w:val="single"/>
                </w:rPr>
                <w:t>https://zp.edu.ua/uploads/dept_inter/pol_pro_org_naboru_ta_navch_inozemtsiv.pdf</w:t>
              </w:r>
            </w:hyperlink>
          </w:p>
        </w:tc>
      </w:tr>
    </w:tbl>
    <w:p w:rsidR="00B12A98" w:rsidRDefault="00B12A98">
      <w:pPr>
        <w:spacing w:line="240" w:lineRule="auto"/>
        <w:ind w:left="2" w:hanging="4"/>
        <w:rPr>
          <w:sz w:val="36"/>
          <w:szCs w:val="36"/>
        </w:rPr>
      </w:pPr>
    </w:p>
    <w:p w:rsidR="00B12A98" w:rsidRDefault="00713ECA">
      <w:pPr>
        <w:spacing w:line="240" w:lineRule="auto"/>
        <w:ind w:left="0" w:hanging="2"/>
        <w:jc w:val="center"/>
      </w:pPr>
      <w:r>
        <w:br w:type="page"/>
      </w:r>
      <w:r>
        <w:rPr>
          <w:b/>
        </w:rPr>
        <w:lastRenderedPageBreak/>
        <w:t>2. Перелік комп</w:t>
      </w:r>
      <w:r w:rsidR="001B7D54">
        <w:rPr>
          <w:b/>
        </w:rPr>
        <w:t xml:space="preserve">онент </w:t>
      </w:r>
      <w:proofErr w:type="spellStart"/>
      <w:r w:rsidR="001B7D54">
        <w:rPr>
          <w:b/>
        </w:rPr>
        <w:t>освітньо-</w:t>
      </w:r>
      <w:r>
        <w:rPr>
          <w:b/>
        </w:rPr>
        <w:t>наукової</w:t>
      </w:r>
      <w:proofErr w:type="spellEnd"/>
      <w:r>
        <w:rPr>
          <w:b/>
        </w:rPr>
        <w:t xml:space="preserve"> програми та їх логічна послідовність</w:t>
      </w:r>
    </w:p>
    <w:p w:rsidR="00B12A98" w:rsidRDefault="00713ECA">
      <w:pPr>
        <w:spacing w:line="240" w:lineRule="auto"/>
        <w:ind w:left="0" w:hanging="2"/>
        <w:rPr>
          <w:sz w:val="23"/>
          <w:szCs w:val="23"/>
        </w:rPr>
      </w:pPr>
      <w:r>
        <w:rPr>
          <w:sz w:val="23"/>
          <w:szCs w:val="23"/>
        </w:rPr>
        <w:t>2.1. Перелік компонент ОП.</w:t>
      </w:r>
    </w:p>
    <w:p w:rsidR="00B12A98" w:rsidRDefault="00B12A98">
      <w:pPr>
        <w:spacing w:line="240" w:lineRule="auto"/>
        <w:ind w:left="0" w:hanging="2"/>
        <w:rPr>
          <w:sz w:val="23"/>
          <w:szCs w:val="23"/>
        </w:rPr>
      </w:pPr>
    </w:p>
    <w:tbl>
      <w:tblPr>
        <w:tblStyle w:val="af4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5843"/>
        <w:gridCol w:w="1260"/>
        <w:gridCol w:w="1543"/>
      </w:tblGrid>
      <w:tr w:rsidR="00B12A98">
        <w:tc>
          <w:tcPr>
            <w:tcW w:w="925" w:type="dxa"/>
            <w:vAlign w:val="center"/>
          </w:tcPr>
          <w:p w:rsidR="00B12A98" w:rsidRDefault="00713ECA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н/д</w:t>
            </w:r>
          </w:p>
        </w:tc>
        <w:tc>
          <w:tcPr>
            <w:tcW w:w="5843" w:type="dxa"/>
            <w:vAlign w:val="center"/>
          </w:tcPr>
          <w:p w:rsidR="00B12A98" w:rsidRDefault="00713ECA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60" w:type="dxa"/>
            <w:vAlign w:val="center"/>
          </w:tcPr>
          <w:p w:rsidR="00B12A98" w:rsidRDefault="00713ECA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Кількість кредитів</w:t>
            </w:r>
          </w:p>
        </w:tc>
        <w:tc>
          <w:tcPr>
            <w:tcW w:w="1543" w:type="dxa"/>
            <w:vAlign w:val="center"/>
          </w:tcPr>
          <w:p w:rsidR="00B12A98" w:rsidRDefault="00713ECA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підсумкового контролю</w:t>
            </w:r>
          </w:p>
        </w:tc>
      </w:tr>
    </w:tbl>
    <w:p w:rsidR="00B12A98" w:rsidRDefault="00B12A98">
      <w:pPr>
        <w:spacing w:line="240" w:lineRule="auto"/>
        <w:ind w:left="-2" w:firstLine="0"/>
        <w:rPr>
          <w:sz w:val="4"/>
          <w:szCs w:val="4"/>
        </w:rPr>
      </w:pPr>
    </w:p>
    <w:tbl>
      <w:tblPr>
        <w:tblStyle w:val="af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5841"/>
        <w:gridCol w:w="1260"/>
        <w:gridCol w:w="1546"/>
      </w:tblGrid>
      <w:tr w:rsidR="00B12A98" w:rsidTr="00E37BC5">
        <w:tc>
          <w:tcPr>
            <w:tcW w:w="924" w:type="dxa"/>
          </w:tcPr>
          <w:p w:rsidR="00B12A98" w:rsidRDefault="00713ECA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41" w:type="dxa"/>
          </w:tcPr>
          <w:p w:rsidR="00B12A98" w:rsidRDefault="00713ECA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B12A98" w:rsidRDefault="00713ECA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46" w:type="dxa"/>
          </w:tcPr>
          <w:p w:rsidR="00B12A98" w:rsidRDefault="00713ECA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B12A98">
        <w:tc>
          <w:tcPr>
            <w:tcW w:w="9571" w:type="dxa"/>
            <w:gridSpan w:val="4"/>
          </w:tcPr>
          <w:p w:rsidR="00B12A98" w:rsidRDefault="00713ECA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ОБОВ’ЯЗКОВІ КОМПОНЕНТИ (ОК)</w:t>
            </w:r>
          </w:p>
        </w:tc>
      </w:tr>
      <w:tr w:rsidR="001B7D54" w:rsidTr="00E37BC5">
        <w:trPr>
          <w:trHeight w:val="304"/>
        </w:trPr>
        <w:tc>
          <w:tcPr>
            <w:tcW w:w="924" w:type="dxa"/>
            <w:tcBorders>
              <w:bottom w:val="single" w:sz="4" w:space="0" w:color="auto"/>
            </w:tcBorders>
          </w:tcPr>
          <w:p w:rsidR="001B7D54" w:rsidRPr="006576C3" w:rsidRDefault="001B7D54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 w:rsidRPr="006576C3">
              <w:rPr>
                <w:sz w:val="23"/>
                <w:szCs w:val="23"/>
              </w:rPr>
              <w:t>ОК 1.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1B7D54" w:rsidRPr="0073256A" w:rsidRDefault="0073256A" w:rsidP="002A7D0E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Іноземна мова професійного </w:t>
            </w:r>
            <w:r w:rsidR="002A7D0E" w:rsidRPr="002A7D0E">
              <w:rPr>
                <w:sz w:val="23"/>
                <w:szCs w:val="23"/>
              </w:rPr>
              <w:t>спілкування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7D54" w:rsidRPr="001B7D54" w:rsidRDefault="002A7D0E" w:rsidP="001B7D54">
            <w:pPr>
              <w:pStyle w:val="TableParagraph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1B7D54" w:rsidRPr="00E37BC5" w:rsidRDefault="002A7D0E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 w:rsidRPr="00E37BC5">
              <w:rPr>
                <w:sz w:val="23"/>
                <w:szCs w:val="23"/>
              </w:rPr>
              <w:t>екзамен</w:t>
            </w:r>
          </w:p>
        </w:tc>
      </w:tr>
      <w:tr w:rsidR="00E37BC5" w:rsidTr="00E37BC5">
        <w:tc>
          <w:tcPr>
            <w:tcW w:w="924" w:type="dxa"/>
          </w:tcPr>
          <w:p w:rsidR="00E37BC5" w:rsidRPr="006576C3" w:rsidRDefault="00E37BC5" w:rsidP="00F54DC8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 w:rsidRPr="006576C3">
              <w:rPr>
                <w:sz w:val="23"/>
                <w:szCs w:val="23"/>
              </w:rPr>
              <w:t xml:space="preserve">ОК </w:t>
            </w:r>
            <w:r w:rsidR="00F54DC8">
              <w:rPr>
                <w:sz w:val="23"/>
                <w:szCs w:val="23"/>
              </w:rPr>
              <w:t>2</w:t>
            </w:r>
            <w:r w:rsidRPr="006576C3">
              <w:rPr>
                <w:sz w:val="23"/>
                <w:szCs w:val="23"/>
              </w:rPr>
              <w:t>.</w:t>
            </w:r>
          </w:p>
        </w:tc>
        <w:tc>
          <w:tcPr>
            <w:tcW w:w="5841" w:type="dxa"/>
          </w:tcPr>
          <w:p w:rsidR="00E37BC5" w:rsidRPr="002A7D0E" w:rsidRDefault="00E37BC5" w:rsidP="002A7D0E">
            <w:pPr>
              <w:pStyle w:val="TableParagraph"/>
              <w:rPr>
                <w:sz w:val="23"/>
                <w:szCs w:val="23"/>
              </w:rPr>
            </w:pPr>
            <w:r w:rsidRPr="002A7D0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етодологія організації наукової </w:t>
            </w:r>
            <w:r w:rsidRPr="002A7D0E">
              <w:rPr>
                <w:sz w:val="23"/>
                <w:szCs w:val="23"/>
              </w:rPr>
              <w:t>діяльності</w:t>
            </w:r>
          </w:p>
        </w:tc>
        <w:tc>
          <w:tcPr>
            <w:tcW w:w="1260" w:type="dxa"/>
          </w:tcPr>
          <w:p w:rsidR="00E37BC5" w:rsidRPr="006576C3" w:rsidRDefault="006576C3" w:rsidP="001B7D54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1546" w:type="dxa"/>
          </w:tcPr>
          <w:p w:rsidR="00E37BC5" w:rsidRPr="00E37BC5" w:rsidRDefault="00E37BC5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 w:rsidRPr="00E37BC5">
              <w:rPr>
                <w:sz w:val="23"/>
                <w:szCs w:val="23"/>
              </w:rPr>
              <w:t>екзамен</w:t>
            </w:r>
          </w:p>
        </w:tc>
      </w:tr>
      <w:tr w:rsidR="00E37BC5" w:rsidTr="00E37BC5">
        <w:tc>
          <w:tcPr>
            <w:tcW w:w="924" w:type="dxa"/>
          </w:tcPr>
          <w:p w:rsidR="00E37BC5" w:rsidRPr="006576C3" w:rsidRDefault="00E37BC5" w:rsidP="00F54DC8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 w:rsidRPr="006576C3">
              <w:rPr>
                <w:sz w:val="23"/>
                <w:szCs w:val="23"/>
              </w:rPr>
              <w:t xml:space="preserve">ОК </w:t>
            </w:r>
            <w:r w:rsidR="00F54DC8">
              <w:rPr>
                <w:sz w:val="23"/>
                <w:szCs w:val="23"/>
              </w:rPr>
              <w:t>3</w:t>
            </w:r>
            <w:r w:rsidRPr="006576C3">
              <w:rPr>
                <w:sz w:val="23"/>
                <w:szCs w:val="23"/>
              </w:rPr>
              <w:t>.</w:t>
            </w:r>
          </w:p>
        </w:tc>
        <w:tc>
          <w:tcPr>
            <w:tcW w:w="5841" w:type="dxa"/>
          </w:tcPr>
          <w:p w:rsidR="00E37BC5" w:rsidRPr="00344F51" w:rsidRDefault="00E37BC5" w:rsidP="001B7D54">
            <w:pPr>
              <w:pStyle w:val="TableParagraph"/>
              <w:rPr>
                <w:sz w:val="23"/>
                <w:szCs w:val="23"/>
                <w:highlight w:val="yellow"/>
              </w:rPr>
            </w:pPr>
            <w:r w:rsidRPr="002A7D0E">
              <w:rPr>
                <w:sz w:val="23"/>
                <w:szCs w:val="23"/>
              </w:rPr>
              <w:t>Планування експерименту</w:t>
            </w:r>
          </w:p>
        </w:tc>
        <w:tc>
          <w:tcPr>
            <w:tcW w:w="1260" w:type="dxa"/>
          </w:tcPr>
          <w:p w:rsidR="00E37BC5" w:rsidRPr="006576C3" w:rsidRDefault="006576C3" w:rsidP="001B7D54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4,5</w:t>
            </w:r>
          </w:p>
        </w:tc>
        <w:tc>
          <w:tcPr>
            <w:tcW w:w="1546" w:type="dxa"/>
          </w:tcPr>
          <w:p w:rsidR="00E37BC5" w:rsidRPr="00E37BC5" w:rsidRDefault="00E37BC5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 w:rsidRPr="00E37BC5">
              <w:rPr>
                <w:sz w:val="23"/>
                <w:szCs w:val="23"/>
              </w:rPr>
              <w:t>залік</w:t>
            </w:r>
          </w:p>
        </w:tc>
      </w:tr>
      <w:tr w:rsidR="00E37BC5" w:rsidTr="00E37BC5">
        <w:trPr>
          <w:trHeight w:val="280"/>
        </w:trPr>
        <w:tc>
          <w:tcPr>
            <w:tcW w:w="924" w:type="dxa"/>
          </w:tcPr>
          <w:p w:rsidR="00E37BC5" w:rsidRPr="006576C3" w:rsidRDefault="00E37BC5" w:rsidP="00F54DC8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 w:rsidRPr="006576C3">
              <w:rPr>
                <w:sz w:val="23"/>
                <w:szCs w:val="23"/>
              </w:rPr>
              <w:t xml:space="preserve">ОК </w:t>
            </w:r>
            <w:r w:rsidR="00F54DC8">
              <w:rPr>
                <w:sz w:val="23"/>
                <w:szCs w:val="23"/>
              </w:rPr>
              <w:t>4</w:t>
            </w:r>
            <w:r w:rsidRPr="006576C3">
              <w:rPr>
                <w:sz w:val="23"/>
                <w:szCs w:val="23"/>
              </w:rPr>
              <w:t>.</w:t>
            </w:r>
          </w:p>
        </w:tc>
        <w:tc>
          <w:tcPr>
            <w:tcW w:w="5841" w:type="dxa"/>
          </w:tcPr>
          <w:p w:rsidR="00E37BC5" w:rsidRPr="002A7D0E" w:rsidRDefault="00E37BC5" w:rsidP="002A7D0E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Сучасні методи математичного моделювання, розрахунків та </w:t>
            </w:r>
            <w:r w:rsidRPr="002A7D0E">
              <w:rPr>
                <w:sz w:val="23"/>
                <w:szCs w:val="23"/>
              </w:rPr>
              <w:t>оптимізації в будівництві</w:t>
            </w:r>
          </w:p>
        </w:tc>
        <w:tc>
          <w:tcPr>
            <w:tcW w:w="1260" w:type="dxa"/>
          </w:tcPr>
          <w:p w:rsidR="00E37BC5" w:rsidRPr="006576C3" w:rsidRDefault="006576C3" w:rsidP="001B7D54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4,5</w:t>
            </w:r>
          </w:p>
        </w:tc>
        <w:tc>
          <w:tcPr>
            <w:tcW w:w="1546" w:type="dxa"/>
          </w:tcPr>
          <w:p w:rsidR="00E37BC5" w:rsidRPr="00E37BC5" w:rsidRDefault="00E37BC5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 w:rsidRPr="00E37BC5">
              <w:rPr>
                <w:sz w:val="23"/>
                <w:szCs w:val="23"/>
              </w:rPr>
              <w:t>залік</w:t>
            </w:r>
          </w:p>
        </w:tc>
      </w:tr>
      <w:tr w:rsidR="00E37BC5" w:rsidTr="00E37BC5">
        <w:trPr>
          <w:trHeight w:val="77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37BC5" w:rsidRPr="006576C3" w:rsidRDefault="00E37BC5" w:rsidP="00F54DC8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 w:rsidRPr="006576C3">
              <w:rPr>
                <w:sz w:val="23"/>
                <w:szCs w:val="23"/>
              </w:rPr>
              <w:t xml:space="preserve">ОК </w:t>
            </w:r>
            <w:r w:rsidR="00F54DC8">
              <w:rPr>
                <w:sz w:val="23"/>
                <w:szCs w:val="23"/>
              </w:rPr>
              <w:t>5</w:t>
            </w:r>
            <w:r w:rsidRPr="006576C3">
              <w:rPr>
                <w:sz w:val="23"/>
                <w:szCs w:val="23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C5" w:rsidRPr="006576C3" w:rsidRDefault="006576C3" w:rsidP="003F51C8">
            <w:pPr>
              <w:pStyle w:val="TableParagraph"/>
              <w:rPr>
                <w:sz w:val="23"/>
                <w:szCs w:val="23"/>
                <w:highlight w:val="yellow"/>
              </w:rPr>
            </w:pPr>
            <w:proofErr w:type="spellStart"/>
            <w:r>
              <w:rPr>
                <w:sz w:val="23"/>
                <w:szCs w:val="23"/>
                <w:lang w:val="ru-RU"/>
              </w:rPr>
              <w:t>Стажування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з </w:t>
            </w:r>
            <w:proofErr w:type="spellStart"/>
            <w:r>
              <w:rPr>
                <w:sz w:val="23"/>
                <w:szCs w:val="23"/>
                <w:lang w:val="ru-RU"/>
              </w:rPr>
              <w:t>профес</w:t>
            </w:r>
            <w:r>
              <w:rPr>
                <w:sz w:val="23"/>
                <w:szCs w:val="23"/>
              </w:rPr>
              <w:t>ійної</w:t>
            </w:r>
            <w:proofErr w:type="spellEnd"/>
            <w:r>
              <w:rPr>
                <w:sz w:val="23"/>
                <w:szCs w:val="23"/>
              </w:rPr>
              <w:t xml:space="preserve"> та педагогічної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ідготовки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C5" w:rsidRPr="001B7D54" w:rsidRDefault="006576C3" w:rsidP="003F51C8">
            <w:pPr>
              <w:pStyle w:val="TableParagraph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E37BC5" w:rsidRPr="00E37BC5" w:rsidRDefault="00E07CFA" w:rsidP="003F51C8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диф.</w:t>
            </w:r>
            <w:r w:rsidR="00E37BC5" w:rsidRPr="00E37BC5">
              <w:rPr>
                <w:sz w:val="23"/>
                <w:szCs w:val="23"/>
              </w:rPr>
              <w:t>залік</w:t>
            </w:r>
            <w:proofErr w:type="spellEnd"/>
          </w:p>
        </w:tc>
      </w:tr>
      <w:tr w:rsidR="00E37BC5" w:rsidTr="00E37BC5">
        <w:trPr>
          <w:trHeight w:val="116"/>
        </w:trPr>
        <w:tc>
          <w:tcPr>
            <w:tcW w:w="6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7BC5" w:rsidRPr="006576C3" w:rsidRDefault="00E37BC5" w:rsidP="0073256A">
            <w:pPr>
              <w:spacing w:line="240" w:lineRule="auto"/>
              <w:ind w:left="0" w:hanging="2"/>
              <w:jc w:val="center"/>
              <w:rPr>
                <w:sz w:val="23"/>
                <w:szCs w:val="23"/>
                <w:highlight w:val="yellow"/>
              </w:rPr>
            </w:pPr>
            <w:r w:rsidRPr="006576C3">
              <w:rPr>
                <w:sz w:val="23"/>
                <w:szCs w:val="23"/>
              </w:rPr>
              <w:t>Загальний обсяг обов’язкових компонент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7BC5" w:rsidRPr="00E37BC5" w:rsidRDefault="006576C3" w:rsidP="0073256A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E37BC5">
        <w:trPr>
          <w:trHeight w:val="275"/>
        </w:trPr>
        <w:tc>
          <w:tcPr>
            <w:tcW w:w="9571" w:type="dxa"/>
            <w:gridSpan w:val="4"/>
            <w:tcBorders>
              <w:bottom w:val="single" w:sz="4" w:space="0" w:color="000000"/>
            </w:tcBorders>
          </w:tcPr>
          <w:p w:rsidR="00E37BC5" w:rsidRPr="006576C3" w:rsidRDefault="00E37BC5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 w:rsidRPr="006576C3">
              <w:rPr>
                <w:b/>
                <w:sz w:val="23"/>
                <w:szCs w:val="23"/>
              </w:rPr>
              <w:t>ВИБІРКОВІ КОМПОНЕНТИ (ВК)</w:t>
            </w:r>
          </w:p>
        </w:tc>
      </w:tr>
      <w:tr w:rsidR="00E37BC5" w:rsidTr="00704DCB">
        <w:trPr>
          <w:trHeight w:val="363"/>
        </w:trPr>
        <w:tc>
          <w:tcPr>
            <w:tcW w:w="92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7BC5" w:rsidRPr="00EA7AED" w:rsidRDefault="00E37BC5" w:rsidP="0070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sz w:val="23"/>
                <w:szCs w:val="23"/>
              </w:rPr>
            </w:pPr>
            <w:bookmarkStart w:id="1" w:name="_heading=h.gjdgxs" w:colFirst="0" w:colLast="0"/>
            <w:bookmarkEnd w:id="1"/>
            <w:r w:rsidRPr="00EA7AED">
              <w:rPr>
                <w:sz w:val="23"/>
                <w:szCs w:val="23"/>
              </w:rPr>
              <w:t>ВК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7BC5" w:rsidRPr="00EA7AED" w:rsidRDefault="00704DCB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Дисципліни вибіркової компоненти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auto"/>
            </w:tcBorders>
          </w:tcPr>
          <w:p w:rsidR="00E37BC5" w:rsidRPr="00E07CFA" w:rsidRDefault="00704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auto"/>
            </w:tcBorders>
          </w:tcPr>
          <w:p w:rsidR="00E37BC5" w:rsidRDefault="00E37BC5" w:rsidP="00E3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</w:pPr>
            <w:r>
              <w:t>залік</w:t>
            </w:r>
          </w:p>
        </w:tc>
      </w:tr>
      <w:tr w:rsidR="00E37BC5" w:rsidTr="00E37BC5">
        <w:tc>
          <w:tcPr>
            <w:tcW w:w="6765" w:type="dxa"/>
            <w:gridSpan w:val="2"/>
            <w:tcBorders>
              <w:top w:val="single" w:sz="4" w:space="0" w:color="000000"/>
            </w:tcBorders>
          </w:tcPr>
          <w:p w:rsidR="00E37BC5" w:rsidRDefault="00E37BC5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Загальний обсяг вибіркових компонент: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</w:tcBorders>
          </w:tcPr>
          <w:p w:rsidR="00E37BC5" w:rsidRDefault="006576C3" w:rsidP="00344F51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37BC5" w:rsidTr="00E37BC5">
        <w:tc>
          <w:tcPr>
            <w:tcW w:w="6765" w:type="dxa"/>
            <w:gridSpan w:val="2"/>
          </w:tcPr>
          <w:p w:rsidR="00E37BC5" w:rsidRDefault="00E37BC5" w:rsidP="001B7D54">
            <w:pPr>
              <w:spacing w:line="240" w:lineRule="auto"/>
              <w:ind w:left="0" w:hanging="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ЗАГАЛЬНИЙ ОБСЯГ ОСВІТНЬО</w:t>
            </w:r>
            <w:r>
              <w:rPr>
                <w:b/>
                <w:sz w:val="23"/>
                <w:szCs w:val="23"/>
                <w:lang w:val="ru-RU"/>
              </w:rPr>
              <w:t>-НАУКОВО</w:t>
            </w:r>
            <w:r>
              <w:rPr>
                <w:b/>
                <w:sz w:val="23"/>
                <w:szCs w:val="23"/>
              </w:rPr>
              <w:t>Ї ПРОГРАМИ</w:t>
            </w:r>
          </w:p>
        </w:tc>
        <w:tc>
          <w:tcPr>
            <w:tcW w:w="2806" w:type="dxa"/>
            <w:gridSpan w:val="2"/>
          </w:tcPr>
          <w:p w:rsidR="00E37BC5" w:rsidRDefault="006576C3" w:rsidP="001B7D54">
            <w:pPr>
              <w:spacing w:line="240" w:lineRule="auto"/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</w:tbl>
    <w:p w:rsidR="00B12A98" w:rsidRDefault="00B12A98">
      <w:pPr>
        <w:spacing w:line="240" w:lineRule="auto"/>
        <w:ind w:left="0" w:hanging="2"/>
      </w:pPr>
    </w:p>
    <w:p w:rsidR="00B12A98" w:rsidRDefault="00B12A98">
      <w:pPr>
        <w:spacing w:line="240" w:lineRule="auto"/>
        <w:ind w:left="0" w:hanging="2"/>
      </w:pPr>
    </w:p>
    <w:p w:rsidR="00B12A98" w:rsidRDefault="00B12A98">
      <w:pPr>
        <w:spacing w:line="240" w:lineRule="auto"/>
        <w:ind w:left="0" w:hanging="2"/>
      </w:pPr>
    </w:p>
    <w:p w:rsidR="00B12A98" w:rsidRDefault="00B12A98">
      <w:pPr>
        <w:spacing w:line="240" w:lineRule="auto"/>
        <w:ind w:left="0" w:hanging="2"/>
      </w:pPr>
    </w:p>
    <w:p w:rsidR="00344F51" w:rsidRDefault="00344F51">
      <w:pPr>
        <w:spacing w:line="240" w:lineRule="auto"/>
        <w:ind w:left="0" w:hanging="2"/>
      </w:pPr>
    </w:p>
    <w:p w:rsidR="00B12A98" w:rsidRDefault="00713ECA">
      <w:pPr>
        <w:spacing w:line="240" w:lineRule="auto"/>
        <w:ind w:left="0" w:hanging="2"/>
        <w:sectPr w:rsidR="00B12A98">
          <w:pgSz w:w="11906" w:h="16838"/>
          <w:pgMar w:top="1134" w:right="850" w:bottom="1134" w:left="1701" w:header="0" w:footer="720" w:gutter="0"/>
          <w:pgNumType w:start="1"/>
          <w:cols w:space="720"/>
        </w:sectPr>
      </w:pPr>
      <w:r>
        <w:br w:type="page"/>
      </w:r>
    </w:p>
    <w:p w:rsidR="00E37BC5" w:rsidRDefault="00344F51" w:rsidP="00344F51">
      <w:pPr>
        <w:spacing w:line="240" w:lineRule="auto"/>
        <w:ind w:left="0" w:hanging="2"/>
        <w:rPr>
          <w:sz w:val="23"/>
          <w:szCs w:val="23"/>
        </w:rPr>
      </w:pPr>
      <w:r>
        <w:lastRenderedPageBreak/>
        <w:t>2.2. Структурно-логічна схема ОНП</w:t>
      </w:r>
    </w:p>
    <w:p w:rsidR="00E37BC5" w:rsidRPr="00E37BC5" w:rsidRDefault="00E37BC5" w:rsidP="00E37BC5">
      <w:pPr>
        <w:ind w:left="0" w:hanging="2"/>
        <w:rPr>
          <w:sz w:val="23"/>
          <w:szCs w:val="23"/>
        </w:rPr>
      </w:pPr>
    </w:p>
    <w:p w:rsidR="00E37BC5" w:rsidRPr="00E37BC5" w:rsidRDefault="00A96F8D" w:rsidP="00E37BC5">
      <w:pPr>
        <w:ind w:left="0" w:hanging="2"/>
        <w:rPr>
          <w:sz w:val="23"/>
          <w:szCs w:val="23"/>
        </w:rPr>
      </w:pPr>
      <w:r>
        <w:rPr>
          <w:noProof/>
          <w:sz w:val="23"/>
          <w:szCs w:val="23"/>
          <w:lang w:val="ru-RU"/>
        </w:rPr>
        <w:drawing>
          <wp:inline distT="0" distB="0" distL="0" distR="0">
            <wp:extent cx="923925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C5" w:rsidRPr="00E37BC5" w:rsidRDefault="00E37BC5" w:rsidP="00E37BC5">
      <w:pPr>
        <w:ind w:left="0" w:hanging="2"/>
        <w:rPr>
          <w:sz w:val="23"/>
          <w:szCs w:val="23"/>
        </w:rPr>
      </w:pPr>
    </w:p>
    <w:p w:rsidR="00E37BC5" w:rsidRPr="00E37BC5" w:rsidRDefault="00E37BC5" w:rsidP="00E37BC5">
      <w:pPr>
        <w:ind w:left="0" w:hanging="2"/>
        <w:rPr>
          <w:sz w:val="23"/>
          <w:szCs w:val="23"/>
        </w:rPr>
      </w:pPr>
    </w:p>
    <w:p w:rsidR="00E37BC5" w:rsidRPr="00E37BC5" w:rsidRDefault="00E37BC5" w:rsidP="00126C94">
      <w:pPr>
        <w:ind w:leftChars="0" w:left="0" w:firstLineChars="0" w:firstLine="0"/>
        <w:rPr>
          <w:sz w:val="23"/>
          <w:szCs w:val="23"/>
        </w:rPr>
      </w:pPr>
    </w:p>
    <w:p w:rsidR="00E37BC5" w:rsidRPr="00E37BC5" w:rsidRDefault="00E37BC5" w:rsidP="00E37BC5">
      <w:pPr>
        <w:ind w:left="0" w:hanging="2"/>
        <w:rPr>
          <w:sz w:val="23"/>
          <w:szCs w:val="23"/>
        </w:rPr>
      </w:pPr>
    </w:p>
    <w:p w:rsidR="00B12A98" w:rsidRPr="00126C94" w:rsidRDefault="00B12A98" w:rsidP="00126C94">
      <w:pPr>
        <w:tabs>
          <w:tab w:val="left" w:pos="3617"/>
        </w:tabs>
        <w:ind w:leftChars="0" w:left="0" w:firstLineChars="0" w:firstLine="0"/>
        <w:rPr>
          <w:sz w:val="23"/>
          <w:szCs w:val="23"/>
          <w:lang w:val="ru-RU"/>
        </w:rPr>
        <w:sectPr w:rsidR="00B12A98" w:rsidRPr="00126C94">
          <w:pgSz w:w="16838" w:h="11906" w:orient="landscape"/>
          <w:pgMar w:top="1701" w:right="1134" w:bottom="851" w:left="1134" w:header="0" w:footer="720" w:gutter="0"/>
          <w:pgNumType w:start="1"/>
          <w:cols w:space="720"/>
        </w:sectPr>
      </w:pPr>
    </w:p>
    <w:p w:rsidR="00B12A98" w:rsidRDefault="00713ECA">
      <w:pPr>
        <w:spacing w:line="240" w:lineRule="auto"/>
        <w:ind w:left="0" w:hanging="2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3. Форма атестації здобувачів вищої освіти</w:t>
      </w:r>
    </w:p>
    <w:p w:rsidR="00B12A98" w:rsidRDefault="00B12A98">
      <w:pPr>
        <w:spacing w:line="240" w:lineRule="auto"/>
        <w:ind w:left="0" w:hanging="2"/>
        <w:rPr>
          <w:sz w:val="23"/>
          <w:szCs w:val="23"/>
        </w:rPr>
      </w:pPr>
    </w:p>
    <w:p w:rsidR="00B12A98" w:rsidRDefault="00713ECA" w:rsidP="00344F51">
      <w:pPr>
        <w:spacing w:line="240" w:lineRule="auto"/>
        <w:ind w:leftChars="0" w:left="0" w:firstLineChars="0" w:firstLine="0"/>
        <w:jc w:val="both"/>
      </w:pPr>
      <w:r>
        <w:t xml:space="preserve">Атестація випускників освітньої програми спеціальності 192 "Будівництво та цивільна інженерія" проводиться у формі захисту </w:t>
      </w:r>
      <w:r w:rsidR="00344F51">
        <w:t>дисертаційної роботи доктора філософії та завершується видачею документу який засвідчує присудження ступеня доктора філософії</w:t>
      </w:r>
      <w:r>
        <w:t xml:space="preserve">. </w:t>
      </w:r>
    </w:p>
    <w:p w:rsidR="00344F51" w:rsidRPr="00344F51" w:rsidRDefault="00344F51" w:rsidP="00344F51">
      <w:pPr>
        <w:spacing w:line="240" w:lineRule="auto"/>
        <w:ind w:leftChars="0" w:firstLineChars="0" w:firstLine="0"/>
        <w:jc w:val="both"/>
        <w:rPr>
          <w:szCs w:val="16"/>
        </w:rPr>
      </w:pPr>
      <w:r w:rsidRPr="00344F51">
        <w:rPr>
          <w:szCs w:val="16"/>
        </w:rPr>
        <w:t>Диплом доктора філософії видається після затвердження атестаційною колегією МОН України рішення ради.</w:t>
      </w:r>
    </w:p>
    <w:p w:rsidR="00344F51" w:rsidRPr="00344F51" w:rsidRDefault="00344F51" w:rsidP="00344F51">
      <w:pPr>
        <w:spacing w:line="240" w:lineRule="auto"/>
        <w:ind w:leftChars="0" w:firstLineChars="0" w:firstLine="0"/>
        <w:jc w:val="both"/>
        <w:rPr>
          <w:szCs w:val="16"/>
        </w:rPr>
      </w:pPr>
      <w:r w:rsidRPr="00344F51">
        <w:rPr>
          <w:szCs w:val="16"/>
        </w:rPr>
        <w:t>Обов’язковою умовою допуску до захисту є успішне</w:t>
      </w:r>
      <w:r>
        <w:rPr>
          <w:szCs w:val="16"/>
        </w:rPr>
        <w:t xml:space="preserve"> виконання аспірантом його інди</w:t>
      </w:r>
      <w:r w:rsidRPr="00344F51">
        <w:rPr>
          <w:szCs w:val="16"/>
        </w:rPr>
        <w:t>відуального навчального плану.</w:t>
      </w:r>
    </w:p>
    <w:p w:rsidR="00344F51" w:rsidRPr="00344F51" w:rsidRDefault="00344F51" w:rsidP="00344F51">
      <w:pPr>
        <w:spacing w:line="240" w:lineRule="auto"/>
        <w:ind w:leftChars="0" w:firstLineChars="0" w:firstLine="0"/>
        <w:jc w:val="both"/>
        <w:rPr>
          <w:szCs w:val="16"/>
        </w:rPr>
      </w:pPr>
      <w:r w:rsidRPr="00344F51">
        <w:rPr>
          <w:szCs w:val="16"/>
        </w:rPr>
        <w:t xml:space="preserve">Дисертація на здобуття ступеня доктора філософії </w:t>
      </w:r>
      <w:r>
        <w:rPr>
          <w:szCs w:val="16"/>
        </w:rPr>
        <w:t>є самостійним розгорнутим дослі</w:t>
      </w:r>
      <w:r w:rsidRPr="00344F51">
        <w:rPr>
          <w:szCs w:val="16"/>
        </w:rPr>
        <w:t>дженням, що пропонує розв’язання актуального наукового завдання в певній галузі знань або на межі кількох галузей, результати якого становлять оригі</w:t>
      </w:r>
      <w:r>
        <w:rPr>
          <w:szCs w:val="16"/>
        </w:rPr>
        <w:t>нальний внесок у суму знань від</w:t>
      </w:r>
      <w:r w:rsidRPr="00344F51">
        <w:rPr>
          <w:szCs w:val="16"/>
        </w:rPr>
        <w:t>повідної галузі (галузей) та оприлюднені у відповідних публікаціях.</w:t>
      </w:r>
    </w:p>
    <w:p w:rsidR="00344F51" w:rsidRPr="00344F51" w:rsidRDefault="00344F51" w:rsidP="00344F51">
      <w:pPr>
        <w:spacing w:line="240" w:lineRule="auto"/>
        <w:ind w:leftChars="0" w:left="0" w:firstLineChars="0" w:firstLine="0"/>
        <w:jc w:val="both"/>
        <w:rPr>
          <w:szCs w:val="16"/>
        </w:rPr>
      </w:pPr>
      <w:r w:rsidRPr="00344F51">
        <w:rPr>
          <w:szCs w:val="16"/>
        </w:rPr>
        <w:t>Вимоги щодо процедури та особливих умов проведення публічного захисту ви</w:t>
      </w:r>
      <w:r>
        <w:rPr>
          <w:szCs w:val="16"/>
        </w:rPr>
        <w:t>знача</w:t>
      </w:r>
      <w:r w:rsidRPr="00344F51">
        <w:rPr>
          <w:szCs w:val="16"/>
        </w:rPr>
        <w:t>ються КМУ.</w:t>
      </w:r>
    </w:p>
    <w:p w:rsidR="00B12A98" w:rsidRDefault="00B12A98">
      <w:pPr>
        <w:spacing w:line="240" w:lineRule="auto"/>
        <w:ind w:left="0" w:hanging="2"/>
      </w:pPr>
    </w:p>
    <w:p w:rsidR="00B12A98" w:rsidRDefault="00B12A98">
      <w:pPr>
        <w:spacing w:line="240" w:lineRule="auto"/>
        <w:ind w:left="0" w:hanging="2"/>
      </w:pPr>
    </w:p>
    <w:p w:rsidR="00B12A98" w:rsidRDefault="00713ECA">
      <w:pPr>
        <w:spacing w:line="240" w:lineRule="auto"/>
        <w:ind w:left="0" w:hanging="2"/>
        <w:sectPr w:rsidR="00B12A98">
          <w:pgSz w:w="11906" w:h="16838"/>
          <w:pgMar w:top="1134" w:right="851" w:bottom="1134" w:left="1701" w:header="0" w:footer="720" w:gutter="0"/>
          <w:pgNumType w:start="1"/>
          <w:cols w:space="720"/>
        </w:sectPr>
      </w:pPr>
      <w:r>
        <w:br w:type="page"/>
      </w:r>
    </w:p>
    <w:p w:rsidR="00B12A98" w:rsidRDefault="00713ECA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4. Матриця відповідності програмних </w:t>
      </w:r>
      <w:proofErr w:type="spellStart"/>
      <w:r>
        <w:rPr>
          <w:b/>
          <w:sz w:val="23"/>
          <w:szCs w:val="23"/>
        </w:rPr>
        <w:t>компетентностей</w:t>
      </w:r>
      <w:proofErr w:type="spellEnd"/>
    </w:p>
    <w:p w:rsidR="00B12A98" w:rsidRDefault="00713ECA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компонентам </w:t>
      </w:r>
      <w:proofErr w:type="spellStart"/>
      <w:r>
        <w:rPr>
          <w:b/>
          <w:sz w:val="23"/>
          <w:szCs w:val="23"/>
        </w:rPr>
        <w:t>освітньо</w:t>
      </w:r>
      <w:r w:rsidR="00344F51">
        <w:rPr>
          <w:b/>
          <w:sz w:val="23"/>
          <w:szCs w:val="23"/>
        </w:rPr>
        <w:t>-наукової</w:t>
      </w:r>
      <w:proofErr w:type="spellEnd"/>
      <w:r>
        <w:rPr>
          <w:b/>
          <w:sz w:val="23"/>
          <w:szCs w:val="23"/>
        </w:rPr>
        <w:t xml:space="preserve"> програми</w:t>
      </w:r>
    </w:p>
    <w:p w:rsidR="00B12A98" w:rsidRDefault="00B12A98">
      <w:pPr>
        <w:spacing w:line="240" w:lineRule="auto"/>
        <w:ind w:left="0" w:hanging="2"/>
        <w:jc w:val="center"/>
        <w:rPr>
          <w:sz w:val="23"/>
          <w:szCs w:val="23"/>
        </w:rPr>
      </w:pPr>
    </w:p>
    <w:tbl>
      <w:tblPr>
        <w:tblStyle w:val="af6"/>
        <w:tblW w:w="5881" w:type="dxa"/>
        <w:jc w:val="center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850"/>
        <w:gridCol w:w="851"/>
        <w:gridCol w:w="884"/>
        <w:gridCol w:w="851"/>
        <w:gridCol w:w="920"/>
      </w:tblGrid>
      <w:tr w:rsidR="00DD704B" w:rsidTr="00C853FB">
        <w:trPr>
          <w:trHeight w:val="633"/>
          <w:jc w:val="center"/>
        </w:trPr>
        <w:tc>
          <w:tcPr>
            <w:tcW w:w="1525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ОК1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ОК2</w:t>
            </w:r>
          </w:p>
        </w:tc>
        <w:tc>
          <w:tcPr>
            <w:tcW w:w="884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ОК3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ОК4</w:t>
            </w:r>
          </w:p>
        </w:tc>
        <w:tc>
          <w:tcPr>
            <w:tcW w:w="920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ОК5</w:t>
            </w:r>
          </w:p>
        </w:tc>
      </w:tr>
      <w:tr w:rsidR="00DD704B" w:rsidTr="00C853FB">
        <w:trPr>
          <w:jc w:val="center"/>
        </w:trPr>
        <w:tc>
          <w:tcPr>
            <w:tcW w:w="1525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Інтегральна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jc w:val="center"/>
        </w:trPr>
        <w:tc>
          <w:tcPr>
            <w:tcW w:w="1525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ЗК01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jc w:val="center"/>
        </w:trPr>
        <w:tc>
          <w:tcPr>
            <w:tcW w:w="1525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ЗК02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D704B" w:rsidTr="00C853FB">
        <w:trPr>
          <w:jc w:val="center"/>
        </w:trPr>
        <w:tc>
          <w:tcPr>
            <w:tcW w:w="1525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ЗК03</w:t>
            </w:r>
          </w:p>
        </w:tc>
        <w:tc>
          <w:tcPr>
            <w:tcW w:w="850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jc w:val="center"/>
        </w:trPr>
        <w:tc>
          <w:tcPr>
            <w:tcW w:w="1525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ЗК04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D704B" w:rsidTr="00C853FB">
        <w:trPr>
          <w:trHeight w:val="114"/>
          <w:jc w:val="center"/>
        </w:trPr>
        <w:tc>
          <w:tcPr>
            <w:tcW w:w="1525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ЗК05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trHeight w:val="146"/>
          <w:jc w:val="center"/>
        </w:trPr>
        <w:tc>
          <w:tcPr>
            <w:tcW w:w="1525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ЗК06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trHeight w:val="70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trHeight w:val="70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D704B" w:rsidTr="00C853FB">
        <w:trPr>
          <w:trHeight w:val="195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D704B" w:rsidTr="00C853FB">
        <w:trPr>
          <w:trHeight w:val="70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DD704B" w:rsidTr="00C853FB">
        <w:trPr>
          <w:trHeight w:val="70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trHeight w:val="70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trHeight w:val="165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D704B" w:rsidTr="00C853FB">
        <w:trPr>
          <w:trHeight w:val="70"/>
          <w:jc w:val="center"/>
        </w:trPr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СК08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B12A98" w:rsidRDefault="00B12A98">
      <w:pPr>
        <w:spacing w:line="240" w:lineRule="auto"/>
        <w:ind w:left="0" w:hanging="2"/>
        <w:jc w:val="center"/>
        <w:rPr>
          <w:sz w:val="23"/>
          <w:szCs w:val="23"/>
        </w:rPr>
      </w:pPr>
    </w:p>
    <w:p w:rsidR="00B12A98" w:rsidRDefault="00B12A98" w:rsidP="00CA3141">
      <w:pPr>
        <w:spacing w:line="240" w:lineRule="auto"/>
        <w:ind w:leftChars="0" w:left="0" w:firstLineChars="0" w:firstLine="0"/>
        <w:rPr>
          <w:sz w:val="23"/>
          <w:szCs w:val="23"/>
        </w:rPr>
      </w:pPr>
    </w:p>
    <w:p w:rsidR="00B12A98" w:rsidRDefault="00713ECA">
      <w:pPr>
        <w:spacing w:line="240" w:lineRule="auto"/>
        <w:ind w:left="0" w:hanging="2"/>
        <w:jc w:val="center"/>
        <w:rPr>
          <w:sz w:val="23"/>
          <w:szCs w:val="23"/>
        </w:rPr>
      </w:pPr>
      <w:bookmarkStart w:id="2" w:name="_heading=h.30j0zll" w:colFirst="0" w:colLast="0"/>
      <w:bookmarkEnd w:id="2"/>
      <w:r>
        <w:rPr>
          <w:b/>
          <w:sz w:val="23"/>
          <w:szCs w:val="23"/>
        </w:rPr>
        <w:t>5. Матриця забезпечення програмних результатів навчання (ПРН)</w:t>
      </w:r>
    </w:p>
    <w:p w:rsidR="00B12A98" w:rsidRDefault="00713ECA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відповідними компонентами </w:t>
      </w:r>
      <w:proofErr w:type="spellStart"/>
      <w:r>
        <w:rPr>
          <w:b/>
          <w:sz w:val="23"/>
          <w:szCs w:val="23"/>
        </w:rPr>
        <w:t>освітньо</w:t>
      </w:r>
      <w:r w:rsidR="00344F51">
        <w:rPr>
          <w:b/>
          <w:sz w:val="23"/>
          <w:szCs w:val="23"/>
        </w:rPr>
        <w:t>-наукової</w:t>
      </w:r>
      <w:proofErr w:type="spellEnd"/>
      <w:r>
        <w:rPr>
          <w:b/>
          <w:sz w:val="23"/>
          <w:szCs w:val="23"/>
        </w:rPr>
        <w:t xml:space="preserve"> програми</w:t>
      </w:r>
    </w:p>
    <w:p w:rsidR="00B12A98" w:rsidRDefault="00B12A98">
      <w:pPr>
        <w:spacing w:line="240" w:lineRule="auto"/>
        <w:ind w:left="0" w:hanging="2"/>
        <w:jc w:val="center"/>
        <w:rPr>
          <w:sz w:val="23"/>
          <w:szCs w:val="23"/>
        </w:rPr>
      </w:pPr>
    </w:p>
    <w:tbl>
      <w:tblPr>
        <w:tblStyle w:val="af7"/>
        <w:tblW w:w="5759" w:type="dxa"/>
        <w:jc w:val="center"/>
        <w:tblInd w:w="-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850"/>
        <w:gridCol w:w="851"/>
        <w:gridCol w:w="850"/>
        <w:gridCol w:w="851"/>
        <w:gridCol w:w="893"/>
      </w:tblGrid>
      <w:tr w:rsidR="00C853FB" w:rsidTr="00C853FB">
        <w:trPr>
          <w:trHeight w:val="794"/>
          <w:jc w:val="center"/>
        </w:trPr>
        <w:tc>
          <w:tcPr>
            <w:tcW w:w="1464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ОК1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ОК2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ОК3</w:t>
            </w: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ОК4</w:t>
            </w:r>
          </w:p>
        </w:tc>
        <w:tc>
          <w:tcPr>
            <w:tcW w:w="893" w:type="dxa"/>
          </w:tcPr>
          <w:p w:rsidR="00DD704B" w:rsidRPr="00DD704B" w:rsidRDefault="00DD704B">
            <w:pPr>
              <w:spacing w:line="240" w:lineRule="auto"/>
              <w:ind w:left="0" w:right="113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ОК5</w:t>
            </w:r>
          </w:p>
        </w:tc>
      </w:tr>
      <w:tr w:rsidR="00C853FB" w:rsidTr="00C853FB">
        <w:trPr>
          <w:jc w:val="center"/>
        </w:trPr>
        <w:tc>
          <w:tcPr>
            <w:tcW w:w="146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РН01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93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</w:tr>
      <w:tr w:rsidR="00C853FB" w:rsidTr="00C853FB">
        <w:trPr>
          <w:jc w:val="center"/>
        </w:trPr>
        <w:tc>
          <w:tcPr>
            <w:tcW w:w="146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РН02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93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853FB" w:rsidTr="00C853FB">
        <w:trPr>
          <w:jc w:val="center"/>
        </w:trPr>
        <w:tc>
          <w:tcPr>
            <w:tcW w:w="146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РН03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93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853FB" w:rsidTr="00C853FB">
        <w:trPr>
          <w:jc w:val="center"/>
        </w:trPr>
        <w:tc>
          <w:tcPr>
            <w:tcW w:w="146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РН04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93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853FB" w:rsidTr="00C853FB">
        <w:trPr>
          <w:jc w:val="center"/>
        </w:trPr>
        <w:tc>
          <w:tcPr>
            <w:tcW w:w="146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РН05</w:t>
            </w:r>
          </w:p>
        </w:tc>
        <w:tc>
          <w:tcPr>
            <w:tcW w:w="850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853FB" w:rsidTr="00C853FB">
        <w:trPr>
          <w:trHeight w:val="114"/>
          <w:jc w:val="center"/>
        </w:trPr>
        <w:tc>
          <w:tcPr>
            <w:tcW w:w="1464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РН06</w:t>
            </w:r>
          </w:p>
        </w:tc>
        <w:tc>
          <w:tcPr>
            <w:tcW w:w="850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93" w:type="dxa"/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853FB" w:rsidTr="00C853FB">
        <w:trPr>
          <w:trHeight w:val="146"/>
          <w:jc w:val="center"/>
        </w:trPr>
        <w:tc>
          <w:tcPr>
            <w:tcW w:w="1464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853FB" w:rsidTr="00C853FB">
        <w:trPr>
          <w:trHeight w:val="70"/>
          <w:jc w:val="center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853FB" w:rsidTr="00C853FB">
        <w:trPr>
          <w:trHeight w:val="70"/>
          <w:jc w:val="center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РН09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DD704B">
              <w:rPr>
                <w:sz w:val="20"/>
                <w:szCs w:val="20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853FB" w:rsidTr="00C853FB">
        <w:trPr>
          <w:trHeight w:val="70"/>
          <w:jc w:val="center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DD704B">
              <w:rPr>
                <w:b/>
                <w:sz w:val="20"/>
                <w:szCs w:val="20"/>
              </w:rPr>
              <w:t>РН10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155B4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0C2CA8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:rsidR="00DD704B" w:rsidRPr="00DD704B" w:rsidRDefault="00DD704B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B12A98" w:rsidRDefault="00B12A98">
      <w:pPr>
        <w:spacing w:line="240" w:lineRule="auto"/>
        <w:ind w:left="0" w:hanging="2"/>
        <w:jc w:val="center"/>
        <w:rPr>
          <w:sz w:val="23"/>
          <w:szCs w:val="23"/>
        </w:rPr>
      </w:pPr>
    </w:p>
    <w:p w:rsidR="00B12A98" w:rsidRDefault="00B12A98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B12A98" w:rsidRDefault="00713ECA">
      <w:pPr>
        <w:spacing w:line="240" w:lineRule="auto"/>
        <w:ind w:left="0" w:hanging="2"/>
        <w:rPr>
          <w:sz w:val="28"/>
          <w:szCs w:val="28"/>
        </w:rPr>
        <w:sectPr w:rsidR="00B12A98" w:rsidSect="00CA3141">
          <w:pgSz w:w="11906" w:h="16838"/>
          <w:pgMar w:top="1134" w:right="851" w:bottom="1134" w:left="1701" w:header="0" w:footer="720" w:gutter="0"/>
          <w:pgNumType w:start="1"/>
          <w:cols w:space="720"/>
        </w:sectPr>
      </w:pPr>
      <w:r>
        <w:br w:type="page"/>
      </w:r>
    </w:p>
    <w:p w:rsidR="00B12A98" w:rsidRDefault="00B12A98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B12A98" w:rsidRDefault="00713ECA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6 ПЕРЕЛІК ДОКОМЕНТІВ, НА ЯКИХ БАЗУЄТЬСЯ ОСВІТНЯ ПРОГРАМА</w:t>
      </w:r>
    </w:p>
    <w:p w:rsidR="00B12A98" w:rsidRDefault="00B12A98">
      <w:pPr>
        <w:spacing w:line="240" w:lineRule="auto"/>
        <w:ind w:left="1" w:hanging="3"/>
        <w:jc w:val="both"/>
        <w:rPr>
          <w:sz w:val="28"/>
          <w:szCs w:val="28"/>
        </w:rPr>
      </w:pPr>
    </w:p>
    <w:tbl>
      <w:tblPr>
        <w:tblStyle w:val="af8"/>
        <w:tblW w:w="104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2"/>
      </w:tblGrid>
      <w:tr w:rsidR="00B12A98">
        <w:tc>
          <w:tcPr>
            <w:tcW w:w="10482" w:type="dxa"/>
          </w:tcPr>
          <w:p w:rsidR="00B12A98" w:rsidRDefault="00B12A98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  <w:p w:rsidR="00B12A98" w:rsidRDefault="00F1222F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Освітньо-наукова</w:t>
            </w:r>
            <w:proofErr w:type="spellEnd"/>
            <w:r w:rsidR="00713ECA">
              <w:rPr>
                <w:sz w:val="28"/>
                <w:szCs w:val="28"/>
              </w:rPr>
              <w:t xml:space="preserve"> програма розроблена на основі наступних нормативних документів:</w:t>
            </w:r>
          </w:p>
          <w:p w:rsidR="00B12A98" w:rsidRDefault="00713ECA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 вищу освіту : Закон України № 1556-VIIвід 01.07.2014 р.</w:t>
            </w:r>
          </w:p>
          <w:p w:rsidR="00B12A98" w:rsidRDefault="00713ECA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URL: </w:t>
            </w:r>
            <w:hyperlink r:id="rId12" w:anchor="Text">
              <w:r>
                <w:rPr>
                  <w:color w:val="0000FF"/>
                  <w:sz w:val="28"/>
                  <w:szCs w:val="28"/>
                  <w:u w:val="single"/>
                </w:rPr>
                <w:t>https://zakon.rada.gov.ua/laws/show/1556-18#Text</w:t>
              </w:r>
            </w:hyperlink>
            <w:r>
              <w:rPr>
                <w:sz w:val="28"/>
                <w:szCs w:val="28"/>
              </w:rPr>
              <w:t>.</w:t>
            </w:r>
          </w:p>
          <w:p w:rsidR="00B12A98" w:rsidRDefault="00713ECA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Національна рамка кваліфікацій : затверджена постановою Кабінету міністрів України від 23 листопада 2011 р. № 1341.</w:t>
            </w:r>
          </w:p>
          <w:p w:rsidR="00B12A98" w:rsidRDefault="00713ECA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URL: </w:t>
            </w:r>
            <w:hyperlink r:id="rId13" w:anchor="n12">
              <w:r>
                <w:rPr>
                  <w:color w:val="0000FF"/>
                  <w:sz w:val="28"/>
                  <w:szCs w:val="28"/>
                  <w:u w:val="single"/>
                </w:rPr>
                <w:t>https://zakon.rada.gov.ua/laws/show/1341-2011-%D0%BF/paran12#n12</w:t>
              </w:r>
            </w:hyperlink>
            <w:r>
              <w:rPr>
                <w:sz w:val="28"/>
                <w:szCs w:val="28"/>
              </w:rPr>
              <w:t>.</w:t>
            </w:r>
          </w:p>
          <w:p w:rsidR="00B12A98" w:rsidRDefault="00713ECA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Національний класифікатор України: Класифікатор професій : ДК 003:2010 (На зміну ДК 003:2005); Чинний  від 01.11.2010 р.</w:t>
            </w:r>
          </w:p>
          <w:p w:rsidR="00B12A98" w:rsidRDefault="00713ECA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URL: </w:t>
            </w:r>
            <w:hyperlink r:id="rId14" w:anchor="Text">
              <w:r>
                <w:rPr>
                  <w:color w:val="0000FF"/>
                  <w:sz w:val="28"/>
                  <w:szCs w:val="28"/>
                  <w:u w:val="single"/>
                </w:rPr>
                <w:t>https://zakon.rada.gov.ua/rada/show/va327609-10#Text</w:t>
              </w:r>
            </w:hyperlink>
            <w:r>
              <w:rPr>
                <w:sz w:val="28"/>
                <w:szCs w:val="28"/>
              </w:rPr>
              <w:t>.</w:t>
            </w:r>
          </w:p>
          <w:p w:rsidR="00B12A98" w:rsidRDefault="00713ECA" w:rsidP="002A1BFC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Методичні рекомендації щодо розроблення стандартів вищої освіти: Наказ </w:t>
            </w:r>
            <w:proofErr w:type="spellStart"/>
            <w:r>
              <w:rPr>
                <w:sz w:val="28"/>
                <w:szCs w:val="28"/>
              </w:rPr>
              <w:t>Міністерстваосвіти</w:t>
            </w:r>
            <w:proofErr w:type="spellEnd"/>
            <w:r>
              <w:rPr>
                <w:sz w:val="28"/>
                <w:szCs w:val="28"/>
              </w:rPr>
              <w:t xml:space="preserve"> і науки України від «01» червня2017 р. № 600 (у редакції наказу Міністерства освіти і науки України від «21»грудня 2017 р. № 1648). URL: </w:t>
            </w:r>
            <w:hyperlink r:id="rId15">
              <w:r>
                <w:rPr>
                  <w:color w:val="0000FF"/>
                  <w:sz w:val="28"/>
                  <w:szCs w:val="28"/>
                  <w:u w:val="single"/>
                </w:rPr>
                <w:t>https://mon.gov.ua/storage/app/media/vishcha-osvita/rekomendatsii-1648.pdf</w:t>
              </w:r>
            </w:hyperlink>
            <w:r>
              <w:rPr>
                <w:sz w:val="28"/>
                <w:szCs w:val="28"/>
              </w:rPr>
              <w:t>.</w:t>
            </w:r>
          </w:p>
          <w:p w:rsidR="00B12A98" w:rsidRDefault="002A1BFC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3ECA">
              <w:rPr>
                <w:sz w:val="28"/>
                <w:szCs w:val="28"/>
              </w:rPr>
              <w:t xml:space="preserve">. Перелік галузей знань і спеціальностей, за якими здійснюється підготовка здобувачів вищої освіти: Постанова Кабінету Міністрів </w:t>
            </w:r>
            <w:proofErr w:type="spellStart"/>
            <w:r w:rsidR="00713ECA">
              <w:rPr>
                <w:sz w:val="28"/>
                <w:szCs w:val="28"/>
              </w:rPr>
              <w:t>Українивід</w:t>
            </w:r>
            <w:proofErr w:type="spellEnd"/>
            <w:r w:rsidR="00713ECA">
              <w:rPr>
                <w:sz w:val="28"/>
                <w:szCs w:val="28"/>
              </w:rPr>
              <w:t xml:space="preserve"> 29 квітня 2015 р. № 266. URL: </w:t>
            </w:r>
            <w:hyperlink r:id="rId16">
              <w:r w:rsidR="00713ECA">
                <w:rPr>
                  <w:color w:val="0000FF"/>
                  <w:sz w:val="28"/>
                  <w:szCs w:val="28"/>
                  <w:u w:val="single"/>
                </w:rPr>
                <w:t>https://www.kmu.gov.ua/npas/248149695</w:t>
              </w:r>
            </w:hyperlink>
            <w:r w:rsidR="00713ECA">
              <w:rPr>
                <w:sz w:val="28"/>
                <w:szCs w:val="28"/>
              </w:rPr>
              <w:t>.</w:t>
            </w:r>
          </w:p>
          <w:p w:rsidR="00B12A98" w:rsidRDefault="002A1BFC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13ECA">
              <w:rPr>
                <w:sz w:val="28"/>
                <w:szCs w:val="28"/>
              </w:rPr>
              <w:t xml:space="preserve">. Закон «Про освіту» - </w:t>
            </w:r>
            <w:hyperlink r:id="rId17">
              <w:r w:rsidR="00713ECA">
                <w:rPr>
                  <w:color w:val="0000FF"/>
                  <w:sz w:val="28"/>
                  <w:szCs w:val="28"/>
                  <w:u w:val="single"/>
                </w:rPr>
                <w:t>http://zakon5.rada.gov.ua/laws/show/2145-19</w:t>
              </w:r>
            </w:hyperlink>
            <w:r w:rsidR="00713ECA">
              <w:rPr>
                <w:sz w:val="28"/>
                <w:szCs w:val="28"/>
              </w:rPr>
              <w:t>.</w:t>
            </w:r>
          </w:p>
          <w:p w:rsidR="00B12A98" w:rsidRDefault="002A1BFC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13ECA">
              <w:rPr>
                <w:sz w:val="28"/>
                <w:szCs w:val="28"/>
              </w:rPr>
              <w:t xml:space="preserve">. TUNING (для ознайомлення зі спеціальними (фаховими) </w:t>
            </w:r>
            <w:proofErr w:type="spellStart"/>
            <w:r w:rsidR="00713ECA">
              <w:rPr>
                <w:sz w:val="28"/>
                <w:szCs w:val="28"/>
              </w:rPr>
              <w:t>компетентностями</w:t>
            </w:r>
            <w:proofErr w:type="spellEnd"/>
            <w:r w:rsidR="00713ECA">
              <w:rPr>
                <w:sz w:val="28"/>
                <w:szCs w:val="28"/>
              </w:rPr>
              <w:t xml:space="preserve"> та прикладами стандартів – </w:t>
            </w:r>
            <w:hyperlink r:id="rId18">
              <w:r w:rsidR="00713ECA">
                <w:rPr>
                  <w:color w:val="0000FF"/>
                  <w:sz w:val="28"/>
                  <w:szCs w:val="28"/>
                  <w:u w:val="single"/>
                </w:rPr>
                <w:t>http://www.unideusto.org/tuningeu/</w:t>
              </w:r>
            </w:hyperlink>
            <w:r w:rsidR="00713ECA">
              <w:rPr>
                <w:sz w:val="28"/>
                <w:szCs w:val="28"/>
              </w:rPr>
              <w:t>.</w:t>
            </w:r>
          </w:p>
          <w:p w:rsidR="00B12A98" w:rsidRDefault="002A1BFC" w:rsidP="002A1BFC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13ECA">
              <w:rPr>
                <w:sz w:val="28"/>
                <w:szCs w:val="28"/>
              </w:rPr>
              <w:t xml:space="preserve">. Розвиток системи забезпечення якості вищої освіти в Україні: інформаційно-аналітичний огляд – </w:t>
            </w:r>
            <w:hyperlink r:id="rId19">
              <w:r w:rsidR="00713ECA">
                <w:rPr>
                  <w:color w:val="0000FF"/>
                  <w:sz w:val="28"/>
                  <w:szCs w:val="28"/>
                  <w:u w:val="single"/>
                </w:rPr>
                <w:t>http://ihed.org.ua/images/biblioteka/Rozvitok_sisitemi_zabesp_yakosti_VO_UA_2015.pdf</w:t>
              </w:r>
            </w:hyperlink>
            <w:r>
              <w:rPr>
                <w:sz w:val="28"/>
                <w:szCs w:val="28"/>
              </w:rPr>
              <w:t>9</w:t>
            </w:r>
            <w:r w:rsidRPr="002A1BFC">
              <w:rPr>
                <w:sz w:val="28"/>
                <w:szCs w:val="28"/>
              </w:rPr>
              <w:t>.</w:t>
            </w:r>
            <w:r w:rsidRPr="002A1BFC">
              <w:rPr>
                <w:sz w:val="28"/>
                <w:szCs w:val="28"/>
              </w:rPr>
              <w:tab/>
              <w:t xml:space="preserve">Порядок підготовки здобувачів вищої освіти ступеня доктора філософії та доктора наук у закладах вищої освіти (наукових установах): </w:t>
            </w:r>
            <w:proofErr w:type="spellStart"/>
            <w:r w:rsidRPr="002A1BFC">
              <w:rPr>
                <w:sz w:val="28"/>
                <w:szCs w:val="28"/>
              </w:rPr>
              <w:t>затв</w:t>
            </w:r>
            <w:proofErr w:type="spellEnd"/>
            <w:r w:rsidRPr="002A1BFC">
              <w:rPr>
                <w:sz w:val="28"/>
                <w:szCs w:val="28"/>
              </w:rPr>
              <w:t xml:space="preserve">. Постановою Кабінету Міністрів України від 23 березня 2016 р. №261. URL: </w:t>
            </w:r>
            <w:hyperlink r:id="rId20" w:anchor="Text" w:history="1">
              <w:r w:rsidRPr="009B3CD0">
                <w:rPr>
                  <w:rStyle w:val="a7"/>
                  <w:sz w:val="28"/>
                  <w:szCs w:val="28"/>
                </w:rPr>
                <w:t>https://zakon.rada.gov.ua/laws/show/261-2016-%D0%BF#Text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A1BFC">
              <w:rPr>
                <w:sz w:val="28"/>
                <w:szCs w:val="28"/>
              </w:rPr>
              <w:t xml:space="preserve">(дата звернення: </w:t>
            </w:r>
            <w:r>
              <w:rPr>
                <w:sz w:val="28"/>
                <w:szCs w:val="28"/>
              </w:rPr>
              <w:t>23</w:t>
            </w:r>
            <w:r w:rsidRPr="002A1B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2A1BF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Pr="002A1BFC">
              <w:rPr>
                <w:sz w:val="28"/>
                <w:szCs w:val="28"/>
              </w:rPr>
              <w:t>).</w:t>
            </w:r>
          </w:p>
          <w:p w:rsidR="00B12A98" w:rsidRDefault="00B12A98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</w:tbl>
    <w:p w:rsidR="00B12A98" w:rsidRDefault="00B12A98">
      <w:pPr>
        <w:spacing w:line="240" w:lineRule="auto"/>
        <w:ind w:left="0" w:hanging="2"/>
      </w:pPr>
    </w:p>
    <w:sectPr w:rsidR="00B12A98" w:rsidSect="00CA3141">
      <w:pgSz w:w="11906" w:h="16838"/>
      <w:pgMar w:top="1134" w:right="851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1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E9F"/>
    <w:multiLevelType w:val="hybridMultilevel"/>
    <w:tmpl w:val="01DEF83E"/>
    <w:lvl w:ilvl="0" w:tplc="6B203C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BDF01C9"/>
    <w:multiLevelType w:val="hybridMultilevel"/>
    <w:tmpl w:val="BA2EF8BE"/>
    <w:lvl w:ilvl="0" w:tplc="FBB015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2A98"/>
    <w:rsid w:val="000C2CA8"/>
    <w:rsid w:val="000E701C"/>
    <w:rsid w:val="00114FED"/>
    <w:rsid w:val="00115BE2"/>
    <w:rsid w:val="00126C94"/>
    <w:rsid w:val="0018778B"/>
    <w:rsid w:val="00193610"/>
    <w:rsid w:val="001943F5"/>
    <w:rsid w:val="001B7D54"/>
    <w:rsid w:val="0023404B"/>
    <w:rsid w:val="00276F23"/>
    <w:rsid w:val="002A1BFC"/>
    <w:rsid w:val="002A7D0E"/>
    <w:rsid w:val="003164F6"/>
    <w:rsid w:val="0033391C"/>
    <w:rsid w:val="00344F51"/>
    <w:rsid w:val="00352A5A"/>
    <w:rsid w:val="00385834"/>
    <w:rsid w:val="003917FD"/>
    <w:rsid w:val="003A7179"/>
    <w:rsid w:val="003B6918"/>
    <w:rsid w:val="003C1CEA"/>
    <w:rsid w:val="00463DD6"/>
    <w:rsid w:val="004729C9"/>
    <w:rsid w:val="004A0E61"/>
    <w:rsid w:val="004F215B"/>
    <w:rsid w:val="0053429E"/>
    <w:rsid w:val="00576DEE"/>
    <w:rsid w:val="005D5F51"/>
    <w:rsid w:val="006576C3"/>
    <w:rsid w:val="006D7F9D"/>
    <w:rsid w:val="00704DCB"/>
    <w:rsid w:val="00713ECA"/>
    <w:rsid w:val="0073256A"/>
    <w:rsid w:val="007966E9"/>
    <w:rsid w:val="008373E1"/>
    <w:rsid w:val="009340BA"/>
    <w:rsid w:val="00973261"/>
    <w:rsid w:val="00A743A7"/>
    <w:rsid w:val="00A96F8D"/>
    <w:rsid w:val="00B12A98"/>
    <w:rsid w:val="00C853FB"/>
    <w:rsid w:val="00CA3141"/>
    <w:rsid w:val="00D06F47"/>
    <w:rsid w:val="00D155B4"/>
    <w:rsid w:val="00D36F9F"/>
    <w:rsid w:val="00D43605"/>
    <w:rsid w:val="00DD704B"/>
    <w:rsid w:val="00DE2F2D"/>
    <w:rsid w:val="00E07CFA"/>
    <w:rsid w:val="00E37BC5"/>
    <w:rsid w:val="00E96A48"/>
    <w:rsid w:val="00EA7AED"/>
    <w:rsid w:val="00F1222F"/>
    <w:rsid w:val="00F54DC8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18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a4">
    <w:name w:val="annotation reference"/>
    <w:basedOn w:val="a0"/>
    <w:rPr>
      <w:rFonts w:ascii="Times New Roman" w:hAnsi="Times New Roman" w:cs="Times New Roman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a5">
    <w:name w:val="annotation text"/>
    <w:basedOn w:val="a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rPr>
      <w:rFonts w:ascii="Calibri" w:hAnsi="Calibri" w:cs="Calibri"/>
      <w:w w:val="100"/>
      <w:position w:val="-1"/>
      <w:highlight w:val="none"/>
      <w:effect w:val="none"/>
      <w:vertAlign w:val="baseline"/>
      <w:cs w:val="0"/>
      <w:em w:val="none"/>
      <w:lang w:val="uk-UA" w:eastAsia="en-US" w:bidi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basedOn w:val="a0"/>
    <w:rPr>
      <w:rFonts w:ascii="Times New Roman" w:hAnsi="Times New Roman" w:cs="Times New Roman"/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3FDF"/>
    <w:rPr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193FDF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193FDF"/>
    <w:pPr>
      <w:shd w:val="clear" w:color="auto" w:fill="FFFFFF"/>
      <w:suppressAutoHyphens w:val="0"/>
      <w:spacing w:line="278" w:lineRule="exact"/>
      <w:ind w:leftChars="0" w:left="0" w:firstLineChars="0" w:hanging="320"/>
      <w:jc w:val="both"/>
      <w:textDirection w:val="lrTb"/>
      <w:textAlignment w:val="auto"/>
      <w:outlineLvl w:val="9"/>
    </w:pPr>
    <w:rPr>
      <w:position w:val="0"/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5342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B7D54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18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a4">
    <w:name w:val="annotation reference"/>
    <w:basedOn w:val="a0"/>
    <w:rPr>
      <w:rFonts w:ascii="Times New Roman" w:hAnsi="Times New Roman" w:cs="Times New Roman"/>
      <w:w w:val="100"/>
      <w:position w:val="-1"/>
      <w:sz w:val="16"/>
      <w:szCs w:val="16"/>
      <w:highlight w:val="none"/>
      <w:effect w:val="none"/>
      <w:vertAlign w:val="baseline"/>
      <w:cs w:val="0"/>
      <w:em w:val="none"/>
    </w:rPr>
  </w:style>
  <w:style w:type="paragraph" w:styleId="a5">
    <w:name w:val="annotation text"/>
    <w:basedOn w:val="a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rPr>
      <w:rFonts w:ascii="Calibri" w:hAnsi="Calibri" w:cs="Calibri"/>
      <w:w w:val="100"/>
      <w:position w:val="-1"/>
      <w:highlight w:val="none"/>
      <w:effect w:val="none"/>
      <w:vertAlign w:val="baseline"/>
      <w:cs w:val="0"/>
      <w:em w:val="none"/>
      <w:lang w:val="uk-UA" w:eastAsia="en-US" w:bidi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basedOn w:val="a0"/>
    <w:rPr>
      <w:rFonts w:ascii="Times New Roman" w:hAnsi="Times New Roman" w:cs="Times New Roman"/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93FDF"/>
    <w:rPr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193FDF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193FDF"/>
    <w:pPr>
      <w:shd w:val="clear" w:color="auto" w:fill="FFFFFF"/>
      <w:suppressAutoHyphens w:val="0"/>
      <w:spacing w:line="278" w:lineRule="exact"/>
      <w:ind w:leftChars="0" w:left="0" w:firstLineChars="0" w:hanging="320"/>
      <w:jc w:val="both"/>
      <w:textDirection w:val="lrTb"/>
      <w:textAlignment w:val="auto"/>
      <w:outlineLvl w:val="9"/>
    </w:pPr>
    <w:rPr>
      <w:position w:val="0"/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5342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B7D54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tu.eduua/naukova-biblioteka" TargetMode="External"/><Relationship Id="rId13" Type="http://schemas.openxmlformats.org/officeDocument/2006/relationships/hyperlink" Target="https://zakon.rada.gov.ua/laws/show/1341-2011-%D0%BF/paran12" TargetMode="External"/><Relationship Id="rId18" Type="http://schemas.openxmlformats.org/officeDocument/2006/relationships/hyperlink" Target="http://www.unideusto.org/tuningeu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show/1556-18" TargetMode="External"/><Relationship Id="rId17" Type="http://schemas.openxmlformats.org/officeDocument/2006/relationships/hyperlink" Target="http://zakon5.rada.gov.ua/laws/show/2145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mu.gov.ua/npas/248149695" TargetMode="External"/><Relationship Id="rId20" Type="http://schemas.openxmlformats.org/officeDocument/2006/relationships/hyperlink" Target="https://zakon.rada.gov.ua/laws/show/261-2016-%D0%B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https://mon.gov.ua/storage/app/media/vishcha-osvita/rekomendatsii-1648.pdf" TargetMode="External"/><Relationship Id="rId10" Type="http://schemas.openxmlformats.org/officeDocument/2006/relationships/hyperlink" Target="https://zp.edu.ua/uploads/dept_inter/pol_pro_org_naboru_ta_navch_inozemtsiv.pdf" TargetMode="External"/><Relationship Id="rId19" Type="http://schemas.openxmlformats.org/officeDocument/2006/relationships/hyperlink" Target="http://ihed.org.ua/images/biblioteka/Rozvitok_sisitemi_zabesp_yakosti_VO_UA_2015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zp.edu.ua/uploads/dept_nm/Polozhennia_pro_akademichnu_mobilnist.pdf" TargetMode="External"/><Relationship Id="rId14" Type="http://schemas.openxmlformats.org/officeDocument/2006/relationships/hyperlink" Target="https://zakon.rada.gov.ua/rada/show/va327609-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QzVGLkw9mkPqNfuku+H3ZZjVg==">AMUW2mWZtXIqZXJi92AwN+oEhz0v3i8xs5pg1pD8xkmTucoxvyjz3YG8KyzVhhwgvVkB8do5+vm2/bLPhvgGfWPjKr31+DfkI7LgNtooiJ/iWSG1PiX97M7HmIvowDXsDwYYNpydDjoX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AEAC32-775C-4676-B46D-4730D7C5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8</cp:revision>
  <cp:lastPrinted>2022-06-30T10:36:00Z</cp:lastPrinted>
  <dcterms:created xsi:type="dcterms:W3CDTF">2022-06-30T16:10:00Z</dcterms:created>
  <dcterms:modified xsi:type="dcterms:W3CDTF">2022-07-27T13:10:00Z</dcterms:modified>
</cp:coreProperties>
</file>